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B5" w:rsidRDefault="00766DD3">
      <w:pPr>
        <w:spacing w:after="213" w:line="259" w:lineRule="auto"/>
        <w:ind w:left="0" w:firstLine="0"/>
        <w:jc w:val="right"/>
      </w:pPr>
      <w:r>
        <w:rPr>
          <w:rFonts w:ascii="Calibri" w:eastAsia="Calibri" w:hAnsi="Calibri" w:cs="Calibri"/>
          <w:sz w:val="22"/>
        </w:rPr>
        <w:t xml:space="preserve">  </w:t>
      </w:r>
      <w:r w:rsidR="00C84246">
        <w:rPr>
          <w:noProof/>
        </w:rPr>
        <w:drawing>
          <wp:inline distT="0" distB="0" distL="0" distR="0" wp14:anchorId="1C352C7B" wp14:editId="3EF82CFF">
            <wp:extent cx="1927225" cy="508635"/>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5"/>
                    <a:stretch>
                      <a:fillRect/>
                    </a:stretch>
                  </pic:blipFill>
                  <pic:spPr>
                    <a:xfrm>
                      <a:off x="0" y="0"/>
                      <a:ext cx="1927225" cy="508635"/>
                    </a:xfrm>
                    <a:prstGeom prst="rect">
                      <a:avLst/>
                    </a:prstGeom>
                  </pic:spPr>
                </pic:pic>
              </a:graphicData>
            </a:graphic>
          </wp:inline>
        </w:drawing>
      </w:r>
      <w:r w:rsidR="00C84246">
        <w:rPr>
          <w:rFonts w:ascii="Calibri" w:eastAsia="Calibri" w:hAnsi="Calibri" w:cs="Calibri"/>
          <w:sz w:val="22"/>
        </w:rPr>
        <w:t xml:space="preserve"> </w:t>
      </w:r>
    </w:p>
    <w:p w:rsidR="003057B5" w:rsidRDefault="00C84246">
      <w:pPr>
        <w:spacing w:after="0" w:line="259" w:lineRule="auto"/>
        <w:ind w:left="0" w:firstLine="0"/>
      </w:pPr>
      <w:r>
        <w:rPr>
          <w:b/>
          <w:i/>
          <w:sz w:val="28"/>
        </w:rPr>
        <w:t xml:space="preserve"> </w:t>
      </w:r>
    </w:p>
    <w:p w:rsidR="003057B5" w:rsidRDefault="00C84246">
      <w:pPr>
        <w:spacing w:after="0" w:line="259" w:lineRule="auto"/>
        <w:ind w:left="0" w:firstLine="0"/>
      </w:pPr>
      <w:r>
        <w:rPr>
          <w:b/>
          <w:i/>
          <w:sz w:val="28"/>
        </w:rPr>
        <w:t xml:space="preserve"> </w:t>
      </w:r>
    </w:p>
    <w:p w:rsidR="003057B5" w:rsidRDefault="00C84246">
      <w:pPr>
        <w:spacing w:after="0" w:line="259" w:lineRule="auto"/>
        <w:ind w:left="0" w:firstLine="0"/>
      </w:pPr>
      <w:r>
        <w:rPr>
          <w:b/>
          <w:i/>
          <w:sz w:val="28"/>
        </w:rPr>
        <w:t xml:space="preserve"> </w:t>
      </w:r>
    </w:p>
    <w:p w:rsidR="003057B5" w:rsidRDefault="00C84246">
      <w:pPr>
        <w:spacing w:after="0" w:line="259" w:lineRule="auto"/>
        <w:ind w:left="0" w:firstLine="0"/>
      </w:pPr>
      <w:r>
        <w:rPr>
          <w:b/>
          <w:i/>
          <w:sz w:val="28"/>
        </w:rPr>
        <w:t xml:space="preserve"> </w:t>
      </w:r>
    </w:p>
    <w:p w:rsidR="003057B5" w:rsidRDefault="00C84246">
      <w:pPr>
        <w:spacing w:after="0" w:line="259" w:lineRule="auto"/>
        <w:ind w:left="-5"/>
      </w:pPr>
      <w:r>
        <w:rPr>
          <w:b/>
          <w:i/>
          <w:sz w:val="28"/>
        </w:rPr>
        <w:t xml:space="preserve">ERASMUS-Erklärung zur Hochschulpolitik </w:t>
      </w:r>
      <w:r w:rsidR="00624726">
        <w:rPr>
          <w:b/>
          <w:i/>
          <w:sz w:val="28"/>
        </w:rPr>
        <w:t>2021-2023</w:t>
      </w:r>
      <w:bookmarkStart w:id="0" w:name="_GoBack"/>
      <w:bookmarkEnd w:id="0"/>
      <w:r>
        <w:rPr>
          <w:b/>
          <w:i/>
          <w:sz w:val="28"/>
        </w:rPr>
        <w:t xml:space="preserve">  </w:t>
      </w:r>
    </w:p>
    <w:p w:rsidR="003057B5" w:rsidRDefault="00C84246">
      <w:pPr>
        <w:spacing w:after="0" w:line="259" w:lineRule="auto"/>
        <w:ind w:left="-5"/>
      </w:pPr>
      <w:r>
        <w:rPr>
          <w:b/>
          <w:i/>
          <w:sz w:val="28"/>
        </w:rPr>
        <w:t xml:space="preserve">(Allgemeine Strategie)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pStyle w:val="berschrift1"/>
        <w:ind w:left="-5"/>
      </w:pPr>
      <w:r>
        <w:t xml:space="preserve">A) </w:t>
      </w:r>
    </w:p>
    <w:p w:rsidR="003057B5" w:rsidRDefault="00C84246">
      <w:pPr>
        <w:ind w:left="-5" w:right="46"/>
      </w:pPr>
      <w:r>
        <w:t>Die HS Koblenz</w:t>
      </w:r>
      <w:r w:rsidR="00B01A35">
        <w:t xml:space="preserve"> (HS KO)</w:t>
      </w:r>
      <w:r>
        <w:t xml:space="preserve"> bietet Studiengänge nach dem anwendungsorien</w:t>
      </w:r>
      <w:r w:rsidR="00412206">
        <w:t>tierten Modell der deutschen HAWs</w:t>
      </w:r>
      <w:r>
        <w:t xml:space="preserve"> an. Sie arbeitet eng mit regionalen, international </w:t>
      </w:r>
      <w:r w:rsidR="00B00B27">
        <w:t xml:space="preserve">vernetzten sowie transnationalen </w:t>
      </w:r>
      <w:r>
        <w:t>Unternehmen und Institutionen zusammen. Internationalität in Lehre, Forschung und Studium ist strategisc</w:t>
      </w:r>
      <w:r w:rsidR="00412206">
        <w:t>hes Ziel der HS KO. Dafür wird an</w:t>
      </w:r>
      <w:r>
        <w:t xml:space="preserve"> </w:t>
      </w:r>
      <w:r w:rsidR="00913CCF">
        <w:t>folgende</w:t>
      </w:r>
      <w:r w:rsidR="00412206">
        <w:t>n</w:t>
      </w:r>
      <w:r w:rsidR="00913CCF">
        <w:t xml:space="preserve"> </w:t>
      </w:r>
      <w:r>
        <w:t>Schwerpunkte</w:t>
      </w:r>
      <w:r w:rsidR="00412206">
        <w:t>n gearbeitet</w:t>
      </w:r>
      <w:r>
        <w:t xml:space="preserve">: </w:t>
      </w:r>
    </w:p>
    <w:p w:rsidR="003057B5" w:rsidRDefault="00C84246">
      <w:pPr>
        <w:spacing w:after="0" w:line="259" w:lineRule="auto"/>
        <w:ind w:left="0" w:firstLine="0"/>
      </w:pPr>
      <w:r>
        <w:t xml:space="preserve"> </w:t>
      </w:r>
    </w:p>
    <w:p w:rsidR="003057B5" w:rsidRDefault="00C84246">
      <w:pPr>
        <w:pStyle w:val="berschrift1"/>
        <w:ind w:left="-5"/>
      </w:pPr>
      <w:r>
        <w:t xml:space="preserve">Studium mit internationaler Komponente </w:t>
      </w:r>
    </w:p>
    <w:p w:rsidR="003057B5" w:rsidRDefault="00C84246">
      <w:pPr>
        <w:ind w:left="-5" w:right="46"/>
      </w:pPr>
      <w:r>
        <w:t>Fachfremdsprachenunterricht, Training interkultureller Kompetenz</w:t>
      </w:r>
      <w:r w:rsidR="00B00B27">
        <w:t xml:space="preserve"> und interkultureller Kommunikation</w:t>
      </w:r>
      <w:r w:rsidR="008B02AE">
        <w:t>,</w:t>
      </w:r>
      <w:r>
        <w:t xml:space="preserve"> englischsprachige Fachveranstaltungen,</w:t>
      </w:r>
      <w:r w:rsidR="00B00B27">
        <w:t xml:space="preserve"> Lehrveranstaltungen</w:t>
      </w:r>
      <w:r>
        <w:t xml:space="preserve"> </w:t>
      </w:r>
      <w:r w:rsidR="00B00B27">
        <w:t xml:space="preserve">zu regionalspezifischen Wirtschafts- und Kulturräumen, </w:t>
      </w:r>
      <w:r>
        <w:t xml:space="preserve">internationale Planspiele mit Partnerhochschulen, internationale Intensivprogramme, Summer Schools </w:t>
      </w:r>
      <w:r w:rsidR="00111149">
        <w:t>und Forschungsprojekte</w:t>
      </w:r>
      <w:r>
        <w:t xml:space="preserve">. </w:t>
      </w:r>
    </w:p>
    <w:p w:rsidR="003057B5" w:rsidRDefault="00C84246">
      <w:pPr>
        <w:spacing w:after="0" w:line="259" w:lineRule="auto"/>
        <w:ind w:left="0" w:firstLine="0"/>
      </w:pPr>
      <w:r>
        <w:t xml:space="preserve"> </w:t>
      </w:r>
    </w:p>
    <w:p w:rsidR="003057B5" w:rsidRDefault="00111149">
      <w:pPr>
        <w:pStyle w:val="berschrift1"/>
        <w:ind w:left="-5"/>
      </w:pPr>
      <w:r>
        <w:t xml:space="preserve">Integrierter </w:t>
      </w:r>
      <w:r w:rsidR="00C84246">
        <w:t xml:space="preserve">Auslandsaufenthalt </w:t>
      </w:r>
    </w:p>
    <w:p w:rsidR="003057B5" w:rsidRDefault="00C84246">
      <w:pPr>
        <w:ind w:left="-5" w:right="46"/>
      </w:pPr>
      <w:r>
        <w:t xml:space="preserve">Praktika im Ausland, Auslandsstudiensemester, Bachelor-/Master-Abschlussarbeiten im Ausland, Austausch von Lehrenden in Europa und weltweit. </w:t>
      </w:r>
    </w:p>
    <w:p w:rsidR="003057B5" w:rsidRDefault="00C84246">
      <w:pPr>
        <w:spacing w:after="0" w:line="259" w:lineRule="auto"/>
        <w:ind w:left="0" w:firstLine="0"/>
      </w:pPr>
      <w:r>
        <w:t xml:space="preserve"> </w:t>
      </w:r>
    </w:p>
    <w:p w:rsidR="003057B5" w:rsidRDefault="00C84246">
      <w:pPr>
        <w:pStyle w:val="berschrift1"/>
        <w:ind w:left="-5"/>
      </w:pPr>
      <w:r>
        <w:t xml:space="preserve">Internationale Studiengänge und Doppelabschlüsse </w:t>
      </w:r>
    </w:p>
    <w:p w:rsidR="003057B5" w:rsidRDefault="00C84246">
      <w:pPr>
        <w:ind w:left="-5" w:right="46"/>
      </w:pPr>
      <w:r>
        <w:t xml:space="preserve">Verwirklichung innerhalb der Partnerschaften mit GJU Amman, der Univ. </w:t>
      </w:r>
      <w:proofErr w:type="spellStart"/>
      <w:r>
        <w:t>of</w:t>
      </w:r>
      <w:proofErr w:type="spellEnd"/>
      <w:r>
        <w:t xml:space="preserve"> </w:t>
      </w:r>
    </w:p>
    <w:p w:rsidR="00EB3517" w:rsidRPr="00EB3517" w:rsidRDefault="00C84246" w:rsidP="00EB3517">
      <w:pPr>
        <w:pStyle w:val="HTMLVorformatiert"/>
        <w:rPr>
          <w:rFonts w:ascii="Arial" w:eastAsia="Arial" w:hAnsi="Arial" w:cs="Arial"/>
          <w:color w:val="000000"/>
          <w:sz w:val="24"/>
          <w:szCs w:val="22"/>
        </w:rPr>
      </w:pPr>
      <w:r w:rsidRPr="00EB3517">
        <w:rPr>
          <w:rFonts w:ascii="Arial" w:eastAsia="Arial" w:hAnsi="Arial" w:cs="Arial"/>
          <w:color w:val="000000"/>
          <w:sz w:val="24"/>
          <w:szCs w:val="22"/>
        </w:rPr>
        <w:t>Technology Qingdao</w:t>
      </w:r>
      <w:r w:rsidR="00412206">
        <w:rPr>
          <w:rFonts w:ascii="Arial" w:eastAsia="Arial" w:hAnsi="Arial" w:cs="Arial"/>
          <w:color w:val="000000"/>
          <w:sz w:val="24"/>
          <w:szCs w:val="22"/>
        </w:rPr>
        <w:t xml:space="preserve"> </w:t>
      </w:r>
      <w:r w:rsidRPr="00EB3517">
        <w:rPr>
          <w:rFonts w:ascii="Arial" w:eastAsia="Arial" w:hAnsi="Arial" w:cs="Arial"/>
          <w:color w:val="000000"/>
          <w:sz w:val="24"/>
          <w:szCs w:val="22"/>
        </w:rPr>
        <w:t>und als Ziel in der angestrebten Partner</w:t>
      </w:r>
      <w:r w:rsidR="00EB3517" w:rsidRPr="00EB3517">
        <w:rPr>
          <w:rFonts w:ascii="Arial" w:eastAsia="Arial" w:hAnsi="Arial" w:cs="Arial"/>
          <w:color w:val="000000"/>
          <w:sz w:val="24"/>
          <w:szCs w:val="22"/>
        </w:rPr>
        <w:t>schaft mit der DUT (Durban RSA), sowie</w:t>
      </w:r>
      <w:r w:rsidR="00EB3517">
        <w:rPr>
          <w:rFonts w:ascii="Arial" w:eastAsia="Arial" w:hAnsi="Arial" w:cs="Arial"/>
          <w:color w:val="000000"/>
          <w:sz w:val="24"/>
          <w:szCs w:val="22"/>
        </w:rPr>
        <w:t xml:space="preserve"> mit der</w:t>
      </w:r>
      <w:r w:rsidR="00EB3517" w:rsidRPr="00EB3517">
        <w:rPr>
          <w:rFonts w:ascii="Arial" w:eastAsia="Arial" w:hAnsi="Arial" w:cs="Arial"/>
          <w:color w:val="000000"/>
          <w:sz w:val="24"/>
          <w:szCs w:val="22"/>
        </w:rPr>
        <w:t xml:space="preserve"> Ivane </w:t>
      </w:r>
      <w:proofErr w:type="spellStart"/>
      <w:r w:rsidR="00EB3517" w:rsidRPr="00EB3517">
        <w:rPr>
          <w:rFonts w:ascii="Arial" w:eastAsia="Arial" w:hAnsi="Arial" w:cs="Arial"/>
          <w:color w:val="000000"/>
          <w:sz w:val="24"/>
          <w:szCs w:val="22"/>
        </w:rPr>
        <w:t>Javakhishvil</w:t>
      </w:r>
      <w:r w:rsidR="00EB3517">
        <w:rPr>
          <w:rFonts w:ascii="Arial" w:eastAsia="Arial" w:hAnsi="Arial" w:cs="Arial"/>
          <w:color w:val="000000"/>
          <w:sz w:val="24"/>
          <w:szCs w:val="22"/>
        </w:rPr>
        <w:t>i</w:t>
      </w:r>
      <w:proofErr w:type="spellEnd"/>
      <w:r w:rsidR="00EB3517">
        <w:rPr>
          <w:rFonts w:ascii="Arial" w:eastAsia="Arial" w:hAnsi="Arial" w:cs="Arial"/>
          <w:color w:val="000000"/>
          <w:sz w:val="24"/>
          <w:szCs w:val="22"/>
        </w:rPr>
        <w:t xml:space="preserve"> </w:t>
      </w:r>
      <w:proofErr w:type="spellStart"/>
      <w:r w:rsidR="00EB3517">
        <w:rPr>
          <w:rFonts w:ascii="Arial" w:eastAsia="Arial" w:hAnsi="Arial" w:cs="Arial"/>
          <w:color w:val="000000"/>
          <w:sz w:val="24"/>
          <w:szCs w:val="22"/>
        </w:rPr>
        <w:t>Tbilisi</w:t>
      </w:r>
      <w:proofErr w:type="spellEnd"/>
      <w:r w:rsidR="00EB3517">
        <w:rPr>
          <w:rFonts w:ascii="Arial" w:eastAsia="Arial" w:hAnsi="Arial" w:cs="Arial"/>
          <w:color w:val="000000"/>
          <w:sz w:val="24"/>
          <w:szCs w:val="22"/>
        </w:rPr>
        <w:t xml:space="preserve"> State University</w:t>
      </w:r>
      <w:r w:rsidR="00EB3517" w:rsidRPr="00EB3517">
        <w:rPr>
          <w:rFonts w:ascii="Arial" w:eastAsia="Arial" w:hAnsi="Arial" w:cs="Arial"/>
          <w:color w:val="000000"/>
          <w:sz w:val="24"/>
          <w:szCs w:val="22"/>
        </w:rPr>
        <w:t>, Tiflis</w:t>
      </w:r>
      <w:r w:rsidR="00EB3517" w:rsidRPr="00EB3517">
        <w:t xml:space="preserve"> </w:t>
      </w:r>
      <w:r w:rsidR="00EB3517" w:rsidRPr="00EB3517">
        <w:rPr>
          <w:rFonts w:ascii="Arial" w:eastAsia="Arial" w:hAnsi="Arial" w:cs="Arial"/>
          <w:color w:val="000000"/>
          <w:sz w:val="24"/>
          <w:szCs w:val="22"/>
        </w:rPr>
        <w:t>Georgien und</w:t>
      </w:r>
      <w:r w:rsidR="00EB3517">
        <w:rPr>
          <w:rFonts w:ascii="Arial" w:eastAsia="Arial" w:hAnsi="Arial" w:cs="Arial"/>
          <w:color w:val="000000"/>
          <w:sz w:val="24"/>
          <w:szCs w:val="22"/>
        </w:rPr>
        <w:t xml:space="preserve"> der </w:t>
      </w:r>
      <w:proofErr w:type="spellStart"/>
      <w:r w:rsidR="00EB3517">
        <w:rPr>
          <w:rFonts w:ascii="Arial" w:eastAsia="Arial" w:hAnsi="Arial" w:cs="Arial"/>
          <w:color w:val="000000"/>
          <w:sz w:val="24"/>
          <w:szCs w:val="22"/>
        </w:rPr>
        <w:t>Azerbaijan</w:t>
      </w:r>
      <w:proofErr w:type="spellEnd"/>
      <w:r w:rsidR="00EB3517">
        <w:rPr>
          <w:rFonts w:ascii="Arial" w:eastAsia="Arial" w:hAnsi="Arial" w:cs="Arial"/>
          <w:color w:val="000000"/>
          <w:sz w:val="24"/>
          <w:szCs w:val="22"/>
        </w:rPr>
        <w:t xml:space="preserve"> University</w:t>
      </w:r>
      <w:r w:rsidR="00EB3517" w:rsidRPr="00EB3517">
        <w:rPr>
          <w:rFonts w:ascii="Arial" w:eastAsia="Arial" w:hAnsi="Arial" w:cs="Arial"/>
          <w:color w:val="000000"/>
          <w:sz w:val="24"/>
          <w:szCs w:val="22"/>
        </w:rPr>
        <w:t>, Baku, Aserbaidschan</w:t>
      </w:r>
      <w:r w:rsidR="00EB3517">
        <w:rPr>
          <w:rFonts w:ascii="Arial" w:eastAsia="Arial" w:hAnsi="Arial" w:cs="Arial"/>
          <w:color w:val="000000"/>
          <w:sz w:val="24"/>
          <w:szCs w:val="22"/>
        </w:rPr>
        <w:t xml:space="preserve">. </w:t>
      </w:r>
    </w:p>
    <w:p w:rsidR="003057B5" w:rsidRDefault="003057B5">
      <w:pPr>
        <w:ind w:left="-5" w:right="46"/>
      </w:pPr>
    </w:p>
    <w:p w:rsidR="0002095D" w:rsidRDefault="00C84246" w:rsidP="00412206">
      <w:pPr>
        <w:ind w:left="-5" w:right="46"/>
      </w:pPr>
      <w:r>
        <w:t xml:space="preserve">Aufbauend auf der individuellen Bereitschaft und Fähigkeit zu internationalen Kooperationen und </w:t>
      </w:r>
      <w:r w:rsidR="00B01A35">
        <w:t xml:space="preserve">zur </w:t>
      </w:r>
      <w:r>
        <w:t xml:space="preserve">Mobilität soll an der HS KO ein Klima </w:t>
      </w:r>
      <w:r w:rsidR="00111149">
        <w:t>des selbstverständlichen</w:t>
      </w:r>
      <w:r>
        <w:t xml:space="preserve"> internationalen Miteinanders aufgrund gelebter</w:t>
      </w:r>
      <w:r w:rsidR="008B02AE">
        <w:t xml:space="preserve"> interkultureller</w:t>
      </w:r>
      <w:r>
        <w:t xml:space="preserve"> Kompetenz</w:t>
      </w:r>
      <w:r w:rsidR="00B00B27">
        <w:t xml:space="preserve"> </w:t>
      </w:r>
      <w:r>
        <w:t xml:space="preserve">praktiziert werden. Diese </w:t>
      </w:r>
      <w:r w:rsidR="008B02AE">
        <w:t xml:space="preserve">Strategie </w:t>
      </w:r>
      <w:r>
        <w:t xml:space="preserve">wird als Mittel zur Schaffung internationaler Ausbildungsstandards gesehen, die langfristig helfen werden, den Bedarf an akademisch ausgebildeten </w:t>
      </w:r>
      <w:r w:rsidR="007010F0">
        <w:t xml:space="preserve">internationalen </w:t>
      </w:r>
      <w:r>
        <w:t xml:space="preserve">Nachwuchskräften </w:t>
      </w:r>
      <w:r w:rsidR="00051862">
        <w:t xml:space="preserve">in Deutschland </w:t>
      </w:r>
      <w:r w:rsidR="00412206">
        <w:t xml:space="preserve">und Europa </w:t>
      </w:r>
      <w:r>
        <w:t>zu decken</w:t>
      </w:r>
      <w:r w:rsidR="008B02AE">
        <w:t xml:space="preserve"> und in Deutschland ausgebildeten Akademiker</w:t>
      </w:r>
      <w:r w:rsidR="0078633E">
        <w:t>I</w:t>
      </w:r>
      <w:r w:rsidR="008B02AE">
        <w:t>nnen den Zugang zu globalen Berufsfeldern zu ermöglichen.</w:t>
      </w:r>
      <w:r>
        <w:t xml:space="preserve"> </w:t>
      </w:r>
      <w:r w:rsidR="00C82BB5">
        <w:t xml:space="preserve">Hierbei wird ausdrücklich angestrebt, auch </w:t>
      </w:r>
      <w:r w:rsidR="00111149">
        <w:t xml:space="preserve">qualifizierten </w:t>
      </w:r>
      <w:r w:rsidR="00C82BB5">
        <w:t xml:space="preserve">Geflüchteten den Zugang zum Studium zu ermöglichen. </w:t>
      </w:r>
    </w:p>
    <w:p w:rsidR="00412206" w:rsidRDefault="00412206" w:rsidP="00412206">
      <w:pPr>
        <w:ind w:left="-5" w:right="46"/>
      </w:pPr>
    </w:p>
    <w:p w:rsidR="00412206" w:rsidRDefault="00412206" w:rsidP="00412206">
      <w:pPr>
        <w:ind w:left="-5" w:right="46"/>
      </w:pPr>
    </w:p>
    <w:p w:rsidR="0002095D" w:rsidRDefault="0002095D">
      <w:pPr>
        <w:ind w:left="-5" w:right="46"/>
      </w:pPr>
    </w:p>
    <w:p w:rsidR="003057B5" w:rsidRDefault="00C84246">
      <w:pPr>
        <w:spacing w:after="0" w:line="259" w:lineRule="auto"/>
        <w:ind w:left="0" w:firstLine="0"/>
      </w:pPr>
      <w:r>
        <w:t xml:space="preserve"> </w:t>
      </w:r>
    </w:p>
    <w:p w:rsidR="003057B5" w:rsidRDefault="00C84246">
      <w:pPr>
        <w:ind w:left="-5" w:right="46"/>
      </w:pPr>
      <w:r>
        <w:lastRenderedPageBreak/>
        <w:t xml:space="preserve">Mobilität und grenzüberschreitende Zusammenarbeit sind in Europa gute Praxis. </w:t>
      </w:r>
    </w:p>
    <w:p w:rsidR="003057B5" w:rsidRDefault="00C84246">
      <w:pPr>
        <w:ind w:left="-5" w:right="46"/>
      </w:pPr>
      <w:r>
        <w:t xml:space="preserve">Partnerschaften werden durch gegenseitige Einladungen, gemeinsame Lehre, </w:t>
      </w:r>
    </w:p>
    <w:p w:rsidR="003057B5" w:rsidRDefault="00C84246">
      <w:pPr>
        <w:ind w:left="-5" w:right="46"/>
      </w:pPr>
      <w:r>
        <w:t xml:space="preserve">Forschung und Projekte intensiv gepflegt. </w:t>
      </w:r>
      <w:r w:rsidR="00B01A35">
        <w:t xml:space="preserve">Das </w:t>
      </w:r>
      <w:r>
        <w:t xml:space="preserve">ECTS wird durchgängig angewendet, </w:t>
      </w:r>
    </w:p>
    <w:p w:rsidR="00593FAC" w:rsidRDefault="00C84246">
      <w:pPr>
        <w:ind w:left="-5" w:right="46"/>
      </w:pPr>
      <w:r>
        <w:t xml:space="preserve">Diploma Supplements sind implementiert. Bewerbungen </w:t>
      </w:r>
      <w:r w:rsidR="007010F0">
        <w:t xml:space="preserve">mit internationalem Hintergrund </w:t>
      </w:r>
      <w:r>
        <w:t xml:space="preserve">im Studierenden-, Mitarbeiter- und Dozentenbereich sind </w:t>
      </w:r>
      <w:r w:rsidR="00412206">
        <w:t>an der HS KO</w:t>
      </w:r>
      <w:r w:rsidR="00913CCF">
        <w:t xml:space="preserve"> </w:t>
      </w:r>
      <w:r>
        <w:t>willkommen</w:t>
      </w:r>
      <w:r w:rsidR="00913CCF">
        <w:t xml:space="preserve">, </w:t>
      </w:r>
      <w:proofErr w:type="spellStart"/>
      <w:r w:rsidR="00913CCF">
        <w:t>daeine</w:t>
      </w:r>
      <w:proofErr w:type="spellEnd"/>
      <w:r w:rsidR="007455EE">
        <w:t xml:space="preserve"> </w:t>
      </w:r>
      <w:r w:rsidR="00593FAC">
        <w:t xml:space="preserve">gelebte </w:t>
      </w:r>
      <w:r w:rsidR="007455EE">
        <w:t>Internationalität</w:t>
      </w:r>
      <w:r w:rsidR="00593FAC">
        <w:t xml:space="preserve"> der Hochschulgemeinschaft auf allen Ebenen </w:t>
      </w:r>
      <w:r w:rsidR="007455EE">
        <w:t xml:space="preserve">der Selbstverwaltung </w:t>
      </w:r>
      <w:r w:rsidR="00593FAC">
        <w:t>an</w:t>
      </w:r>
      <w:r w:rsidR="00913CCF">
        <w:t>gestrebt wird</w:t>
      </w:r>
      <w:r w:rsidR="00593FAC">
        <w:t xml:space="preserve"> und ein faires und </w:t>
      </w:r>
      <w:r w:rsidR="00111149">
        <w:t xml:space="preserve">wertschätzendes </w:t>
      </w:r>
      <w:r w:rsidR="00593FAC">
        <w:t xml:space="preserve">Miteinander </w:t>
      </w:r>
      <w:r w:rsidR="00913CCF">
        <w:t>zum Leitbild der Hochschule zählt</w:t>
      </w:r>
      <w:r w:rsidR="00593FAC">
        <w:t xml:space="preserve">. </w:t>
      </w:r>
    </w:p>
    <w:p w:rsidR="003057B5" w:rsidRDefault="00C84246">
      <w:pPr>
        <w:ind w:left="-5" w:right="46"/>
      </w:pPr>
      <w:r>
        <w:t xml:space="preserve"> </w:t>
      </w:r>
    </w:p>
    <w:p w:rsidR="003057B5" w:rsidRDefault="00C84246">
      <w:pPr>
        <w:ind w:left="-5" w:right="46"/>
      </w:pPr>
      <w:r>
        <w:t xml:space="preserve">Internationale Studienphasen verbessern die Qualität und den Bildungsgrad eines Studiums und steigern mittelfristig die internationale Nachfrage durch ausländische Studierende und nach Absolventen mit internationalen </w:t>
      </w:r>
      <w:r w:rsidR="007455EE">
        <w:t xml:space="preserve">Erfahrungen und </w:t>
      </w:r>
      <w:r>
        <w:t xml:space="preserve">Kompetenzen. Die </w:t>
      </w:r>
      <w:r w:rsidR="007455EE">
        <w:t xml:space="preserve">Intensivierung und </w:t>
      </w:r>
      <w:r>
        <w:t>Qualität</w:t>
      </w:r>
      <w:r w:rsidR="007455EE">
        <w:t>ssteigerung</w:t>
      </w:r>
      <w:r>
        <w:t xml:space="preserve"> der</w:t>
      </w:r>
      <w:r w:rsidR="007010F0">
        <w:t xml:space="preserve"> bestehenden</w:t>
      </w:r>
      <w:r>
        <w:t xml:space="preserve"> internationalen Kooperationen hat Vorrang vor einer quantitativen Ausweitung.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spacing w:after="0" w:line="259" w:lineRule="auto"/>
        <w:ind w:left="-5"/>
      </w:pPr>
      <w:r>
        <w:rPr>
          <w:b/>
        </w:rPr>
        <w:t xml:space="preserve">Die Internationalität der HS KO misst sich in </w:t>
      </w:r>
      <w:r w:rsidR="007455EE">
        <w:rPr>
          <w:b/>
        </w:rPr>
        <w:t xml:space="preserve">den </w:t>
      </w:r>
      <w:r>
        <w:rPr>
          <w:b/>
        </w:rPr>
        <w:t xml:space="preserve">drei folgenden Bereichen:  </w:t>
      </w:r>
    </w:p>
    <w:p w:rsidR="003057B5" w:rsidRDefault="00C84246">
      <w:pPr>
        <w:spacing w:after="0" w:line="259" w:lineRule="auto"/>
        <w:ind w:left="0" w:firstLine="0"/>
      </w:pPr>
      <w:r>
        <w:rPr>
          <w:b/>
        </w:rPr>
        <w:t xml:space="preserve"> </w:t>
      </w:r>
    </w:p>
    <w:p w:rsidR="003057B5" w:rsidRDefault="00C84246">
      <w:pPr>
        <w:numPr>
          <w:ilvl w:val="0"/>
          <w:numId w:val="1"/>
        </w:numPr>
        <w:ind w:right="46" w:hanging="364"/>
      </w:pPr>
      <w:r>
        <w:t xml:space="preserve">Internationalität der Angebote durch die Einführung von integrierten internationalen Studiengängen mit Doppelabschluss sowie durch Auslandsstudienphasen in vielen Studiengängen, durch sinnvoll eingesetzte englischsprachige Lehre sowie die internationale Kompetenz des Lehrkörpers  </w:t>
      </w:r>
    </w:p>
    <w:p w:rsidR="003057B5" w:rsidRDefault="00C84246">
      <w:pPr>
        <w:numPr>
          <w:ilvl w:val="0"/>
          <w:numId w:val="1"/>
        </w:numPr>
        <w:ind w:right="46" w:hanging="364"/>
      </w:pPr>
      <w:r>
        <w:t xml:space="preserve">Verbesserungen der rechtlichen, finanziellen, organisatorischen und kulturellen </w:t>
      </w:r>
    </w:p>
    <w:p w:rsidR="003057B5" w:rsidRDefault="00C84246" w:rsidP="00E85220">
      <w:pPr>
        <w:ind w:left="426" w:right="46" w:firstLine="5"/>
      </w:pPr>
      <w:r>
        <w:t>Rahmenbedingungen für int</w:t>
      </w:r>
      <w:r w:rsidR="00412206">
        <w:t>ernationale Gastwissenschaftler (</w:t>
      </w:r>
      <w:r>
        <w:t>innen</w:t>
      </w:r>
      <w:r w:rsidR="00412206">
        <w:t>)</w:t>
      </w:r>
      <w:r>
        <w:t xml:space="preserve"> und Studierende in Forschung und Studium und  </w:t>
      </w:r>
    </w:p>
    <w:p w:rsidR="003057B5" w:rsidRDefault="00C84246">
      <w:pPr>
        <w:numPr>
          <w:ilvl w:val="0"/>
          <w:numId w:val="1"/>
        </w:numPr>
        <w:ind w:right="46" w:hanging="364"/>
      </w:pPr>
      <w:r>
        <w:t xml:space="preserve">die professionelle internationale Vermarktung der anwendungsorientierten Ausbildung an der Hochschule Koblenz.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pStyle w:val="berschrift1"/>
        <w:ind w:left="-5"/>
      </w:pPr>
      <w:r>
        <w:t xml:space="preserve">Auswahl der Partner </w:t>
      </w:r>
    </w:p>
    <w:p w:rsidR="003057B5" w:rsidRDefault="00C84246">
      <w:pPr>
        <w:spacing w:after="0" w:line="259" w:lineRule="auto"/>
        <w:ind w:left="0" w:firstLine="0"/>
      </w:pPr>
      <w:r>
        <w:rPr>
          <w:b/>
        </w:rPr>
        <w:t xml:space="preserve"> </w:t>
      </w:r>
    </w:p>
    <w:p w:rsidR="003057B5" w:rsidRDefault="00C84246">
      <w:pPr>
        <w:ind w:left="-5" w:right="46"/>
      </w:pPr>
      <w:r>
        <w:t xml:space="preserve">Eine Erweiterung des Kooperationsspektrums auf bisher nicht kontaktierte </w:t>
      </w:r>
      <w:r w:rsidR="002122AB">
        <w:t xml:space="preserve">Länder </w:t>
      </w:r>
      <w:r>
        <w:t xml:space="preserve">kann </w:t>
      </w:r>
      <w:r w:rsidR="00111149">
        <w:t xml:space="preserve">nur </w:t>
      </w:r>
      <w:r>
        <w:t xml:space="preserve">bei entsprechenden Ressourcen begonnen werden. Die </w:t>
      </w:r>
      <w:r w:rsidR="00593C41">
        <w:t xml:space="preserve">Anzahl </w:t>
      </w:r>
      <w:r>
        <w:t>der internationalen Partnerschaften muss in einem angemessenen Verhältnis zu den Möglichkeiten der H</w:t>
      </w:r>
      <w:r w:rsidR="0078633E">
        <w:t>ochschule</w:t>
      </w:r>
      <w:r>
        <w:t xml:space="preserve"> stehen.  </w:t>
      </w:r>
    </w:p>
    <w:p w:rsidR="003057B5" w:rsidRDefault="00C84246">
      <w:pPr>
        <w:spacing w:after="0" w:line="259" w:lineRule="auto"/>
        <w:ind w:left="0" w:firstLine="0"/>
      </w:pPr>
      <w:r>
        <w:t xml:space="preserve"> </w:t>
      </w:r>
    </w:p>
    <w:p w:rsidR="003057B5" w:rsidRDefault="00C84246">
      <w:pPr>
        <w:ind w:left="-5" w:right="46"/>
      </w:pPr>
      <w:r>
        <w:t>Partnerschaften in den besonders beli</w:t>
      </w:r>
      <w:r w:rsidR="00412206">
        <w:t>ebten anglophonen Ländern können</w:t>
      </w:r>
      <w:r>
        <w:t xml:space="preserve"> gefördert werden, wenn eine Kooperation zu fairen Bedingungen bei der Studierendenmobilität </w:t>
      </w:r>
      <w:r w:rsidR="00593C41">
        <w:t>führt</w:t>
      </w:r>
      <w:r>
        <w:t xml:space="preserve">. Alternativ kann Mobilität durch ein Ausweichen </w:t>
      </w:r>
      <w:r w:rsidR="00593C41">
        <w:t>auf</w:t>
      </w:r>
      <w:r>
        <w:t xml:space="preserve"> anglophone Angebote </w:t>
      </w:r>
      <w:r w:rsidR="00593C41">
        <w:t>(z.</w:t>
      </w:r>
      <w:r w:rsidR="00861AED">
        <w:t>B</w:t>
      </w:r>
      <w:r w:rsidR="00593C41">
        <w:t xml:space="preserve">. </w:t>
      </w:r>
      <w:r>
        <w:t xml:space="preserve">in Skandinavien oder </w:t>
      </w:r>
      <w:r w:rsidR="00593C41">
        <w:t xml:space="preserve">in </w:t>
      </w:r>
      <w:r>
        <w:t>Osteuropa</w:t>
      </w:r>
      <w:r w:rsidR="00593C41">
        <w:t>)</w:t>
      </w:r>
      <w:r>
        <w:t xml:space="preserve"> gefördert werden. Die HS KO hat </w:t>
      </w:r>
      <w:r w:rsidR="007648D7">
        <w:t xml:space="preserve">allerdings </w:t>
      </w:r>
      <w:r>
        <w:t xml:space="preserve">ein Interesse daran, für Partner in allen anglophonen Ländern interessant zu bleiben. In allen Fachbereichen wird ein verbessertes Angebot englischsprachiger Lehrveranstaltungen angestrebt.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02095D" w:rsidRDefault="0002095D">
      <w:pPr>
        <w:spacing w:after="0" w:line="259" w:lineRule="auto"/>
        <w:ind w:left="0" w:firstLine="0"/>
      </w:pPr>
    </w:p>
    <w:p w:rsidR="00412206" w:rsidRDefault="00412206">
      <w:pPr>
        <w:spacing w:after="0" w:line="259" w:lineRule="auto"/>
        <w:ind w:left="0" w:firstLine="0"/>
      </w:pPr>
    </w:p>
    <w:p w:rsidR="0002095D" w:rsidRDefault="0002095D">
      <w:pPr>
        <w:spacing w:after="0" w:line="259" w:lineRule="auto"/>
        <w:ind w:left="0" w:firstLine="0"/>
      </w:pPr>
    </w:p>
    <w:p w:rsidR="0002095D" w:rsidRDefault="0002095D">
      <w:pPr>
        <w:spacing w:after="0" w:line="259" w:lineRule="auto"/>
        <w:ind w:left="0" w:firstLine="0"/>
      </w:pPr>
    </w:p>
    <w:p w:rsidR="003057B5" w:rsidRDefault="00C84246">
      <w:pPr>
        <w:pStyle w:val="berschrift1"/>
        <w:ind w:left="-5"/>
      </w:pPr>
      <w:r>
        <w:lastRenderedPageBreak/>
        <w:t xml:space="preserve">Geographische Gebiete </w:t>
      </w:r>
    </w:p>
    <w:p w:rsidR="003057B5" w:rsidRDefault="00C84246">
      <w:pPr>
        <w:spacing w:after="0" w:line="259" w:lineRule="auto"/>
        <w:ind w:left="0" w:firstLine="0"/>
      </w:pPr>
      <w:r>
        <w:rPr>
          <w:b/>
        </w:rPr>
        <w:t xml:space="preserve"> </w:t>
      </w:r>
    </w:p>
    <w:p w:rsidR="003057B5" w:rsidRDefault="00C84246">
      <w:pPr>
        <w:ind w:left="-5" w:right="46"/>
      </w:pPr>
      <w:r>
        <w:t xml:space="preserve">Auf </w:t>
      </w:r>
      <w:r>
        <w:rPr>
          <w:b/>
        </w:rPr>
        <w:t>europäischer</w:t>
      </w:r>
      <w:r>
        <w:t xml:space="preserve"> Ebene nimmt ERASMUS eine zentrale Stellung an der HS KO ein. Der intensive Austausch mit den direkten Nachbarländern ist selbstverständlich, gut etablierte Kontakte zu </w:t>
      </w:r>
      <w:r w:rsidR="00E85220">
        <w:t xml:space="preserve">Frankreich, den </w:t>
      </w:r>
      <w:proofErr w:type="spellStart"/>
      <w:r w:rsidR="00E85220">
        <w:t>BeNeLux</w:t>
      </w:r>
      <w:proofErr w:type="spellEnd"/>
      <w:r w:rsidR="00E85220">
        <w:t xml:space="preserve"> Staaten, </w:t>
      </w:r>
      <w:r>
        <w:t>Skan</w:t>
      </w:r>
      <w:r w:rsidR="00935A89">
        <w:t xml:space="preserve">dinavien und Südosteuropa konsolidiert und ggf. erweitert. </w:t>
      </w:r>
    </w:p>
    <w:p w:rsidR="003057B5" w:rsidRDefault="00C84246">
      <w:pPr>
        <w:spacing w:after="0" w:line="259" w:lineRule="auto"/>
        <w:ind w:left="0" w:firstLine="0"/>
      </w:pPr>
      <w:r>
        <w:t xml:space="preserve"> </w:t>
      </w:r>
    </w:p>
    <w:p w:rsidR="003057B5" w:rsidRDefault="007648D7" w:rsidP="002B75EE">
      <w:pPr>
        <w:ind w:left="-5" w:right="46"/>
      </w:pPr>
      <w:r w:rsidRPr="005C6A01">
        <w:rPr>
          <w:b/>
        </w:rPr>
        <w:t>Außerhalb Europas</w:t>
      </w:r>
      <w:r w:rsidR="00C84246">
        <w:t xml:space="preserve"> steht die </w:t>
      </w:r>
      <w:r w:rsidR="00C84246">
        <w:rPr>
          <w:i/>
        </w:rPr>
        <w:t>Identifizierung von „Schlüssel</w:t>
      </w:r>
      <w:r>
        <w:rPr>
          <w:i/>
        </w:rPr>
        <w:t>-</w:t>
      </w:r>
      <w:r w:rsidR="00C84246">
        <w:rPr>
          <w:i/>
        </w:rPr>
        <w:t xml:space="preserve">Hochschulen“ </w:t>
      </w:r>
      <w:r w:rsidR="00C84246">
        <w:t>im Vordergrund. Vorhandene Kontakte</w:t>
      </w:r>
      <w:r w:rsidR="00935A89">
        <w:t xml:space="preserve"> sollen weiter gefördert werden, wenn die Rahmenbedingungen es zulassen:</w:t>
      </w:r>
      <w:r w:rsidR="00C84246">
        <w:t xml:space="preserve"> z.B. zur Qingdao University </w:t>
      </w:r>
      <w:proofErr w:type="spellStart"/>
      <w:r w:rsidR="00C84246">
        <w:t>of</w:t>
      </w:r>
      <w:proofErr w:type="spellEnd"/>
      <w:r w:rsidR="00C84246">
        <w:t xml:space="preserve"> Science and Technology</w:t>
      </w:r>
      <w:r w:rsidR="00D907DE">
        <w:t xml:space="preserve">, zum </w:t>
      </w:r>
      <w:r w:rsidR="00D907DE" w:rsidRPr="00D907DE">
        <w:t xml:space="preserve">Indian Institute </w:t>
      </w:r>
      <w:proofErr w:type="spellStart"/>
      <w:r w:rsidR="00D907DE" w:rsidRPr="00D907DE">
        <w:t>of</w:t>
      </w:r>
      <w:proofErr w:type="spellEnd"/>
      <w:r w:rsidR="00D907DE" w:rsidRPr="00D907DE">
        <w:t xml:space="preserve"> Technology, Madras</w:t>
      </w:r>
      <w:r w:rsidR="00D907DE">
        <w:t>, Indien</w:t>
      </w:r>
      <w:r w:rsidR="003A7796">
        <w:t xml:space="preserve">, </w:t>
      </w:r>
      <w:r w:rsidR="002122AB">
        <w:t xml:space="preserve">zur </w:t>
      </w:r>
      <w:proofErr w:type="spellStart"/>
      <w:r w:rsidR="002122AB">
        <w:t>Tiblisi</w:t>
      </w:r>
      <w:proofErr w:type="spellEnd"/>
      <w:r w:rsidR="002122AB">
        <w:t xml:space="preserve"> State University in </w:t>
      </w:r>
      <w:r w:rsidR="00861AED">
        <w:t>Georgien und</w:t>
      </w:r>
      <w:r w:rsidR="00C84246">
        <w:t xml:space="preserve"> zur German-</w:t>
      </w:r>
      <w:proofErr w:type="spellStart"/>
      <w:r w:rsidR="00C84246">
        <w:t>Jor</w:t>
      </w:r>
      <w:r w:rsidR="004D7B15">
        <w:t>danian</w:t>
      </w:r>
      <w:proofErr w:type="spellEnd"/>
      <w:r w:rsidR="004D7B15">
        <w:t xml:space="preserve"> University (GJU), Amman und der Durban University in Südafrika (DUT). </w:t>
      </w:r>
      <w:r w:rsidR="00935A89">
        <w:t>Vorhandene Kontakte zu Partnerhochschulen in anglophonen Ländern (USA, Kanada, Australien etc.) müssen mittelfristig eine ausgewogene Balance bei Auslandsaktivitäten erreichen. Eine dauerhaft einseitige finanzielle Belastung von HS KO- Studierenden muss vermieden werden.</w:t>
      </w:r>
    </w:p>
    <w:p w:rsidR="00935A89" w:rsidRDefault="00935A89" w:rsidP="002B75EE">
      <w:pPr>
        <w:ind w:left="-5" w:right="46"/>
      </w:pPr>
    </w:p>
    <w:p w:rsidR="003057B5" w:rsidRDefault="00C84246">
      <w:pPr>
        <w:ind w:left="-5" w:right="46"/>
      </w:pPr>
      <w:r>
        <w:t>Entwicklungspolitisch wichtige Bildungsziele werden in die Strategie der H</w:t>
      </w:r>
      <w:r w:rsidR="0078633E">
        <w:t>ochschule</w:t>
      </w:r>
      <w:r>
        <w:t xml:space="preserve"> eingebunden, indem auch </w:t>
      </w:r>
      <w:r w:rsidR="00935A89">
        <w:t xml:space="preserve">Partnerschaften zu Hochschulen </w:t>
      </w:r>
      <w:r>
        <w:rPr>
          <w:b/>
        </w:rPr>
        <w:t>Schwellenländern</w:t>
      </w:r>
      <w:r>
        <w:t xml:space="preserve"> </w:t>
      </w:r>
      <w:r w:rsidR="00935A89">
        <w:t xml:space="preserve">ausgebaut werden. </w:t>
      </w:r>
      <w:r w:rsidR="00D907DE">
        <w:t xml:space="preserve">In diesem Zusammenhang </w:t>
      </w:r>
      <w:r w:rsidR="007010F0">
        <w:t>sind</w:t>
      </w:r>
      <w:r w:rsidR="00D907DE">
        <w:t xml:space="preserve"> </w:t>
      </w:r>
      <w:r w:rsidR="00420B14">
        <w:t xml:space="preserve">neben Südosteuropa </w:t>
      </w:r>
      <w:r w:rsidR="00D907DE">
        <w:t>besonders</w:t>
      </w:r>
      <w:r w:rsidR="007010F0">
        <w:t xml:space="preserve"> Brasilien</w:t>
      </w:r>
      <w:r w:rsidR="002122AB">
        <w:t xml:space="preserve">, </w:t>
      </w:r>
      <w:r w:rsidR="007010F0">
        <w:t>und</w:t>
      </w:r>
      <w:r w:rsidR="00D907DE">
        <w:t xml:space="preserve"> die Kaukasus-Region hervorzuheben</w:t>
      </w:r>
      <w:r w:rsidR="002122AB">
        <w:t>. So besteht</w:t>
      </w:r>
      <w:r w:rsidR="007010F0">
        <w:t xml:space="preserve"> mit Brasilien, </w:t>
      </w:r>
      <w:r w:rsidR="00D907DE">
        <w:t xml:space="preserve">Georgien und Aserbaidschan </w:t>
      </w:r>
      <w:r w:rsidR="007010F0">
        <w:t xml:space="preserve">schon </w:t>
      </w:r>
      <w:r w:rsidR="00D907DE">
        <w:t xml:space="preserve">ein </w:t>
      </w:r>
      <w:r w:rsidR="007010F0">
        <w:t>regelmäßiger</w:t>
      </w:r>
      <w:r w:rsidR="00D907DE">
        <w:t xml:space="preserve"> Austausch im Rahmen von Summer Schools, </w:t>
      </w:r>
      <w:r w:rsidR="00F45395">
        <w:t>Lehrenden</w:t>
      </w:r>
      <w:r w:rsidR="00D907DE">
        <w:t>- und Studierendenmobilität</w:t>
      </w:r>
      <w:r w:rsidR="007010F0">
        <w:t xml:space="preserve"> und gemeinsamer Forschung</w:t>
      </w:r>
      <w:r w:rsidR="00D907DE">
        <w:t xml:space="preserve">. </w:t>
      </w:r>
      <w:r w:rsidR="004D7B15">
        <w:t xml:space="preserve">Angestrebte Kooperationen mit Südafrika sind aktuell mit der DUT (Durban University </w:t>
      </w:r>
      <w:proofErr w:type="spellStart"/>
      <w:r w:rsidR="004D7B15">
        <w:t>of</w:t>
      </w:r>
      <w:proofErr w:type="spellEnd"/>
      <w:r w:rsidR="004D7B15">
        <w:t xml:space="preserve"> Technology) und der CPUT (Cape Peninsula University </w:t>
      </w:r>
      <w:proofErr w:type="spellStart"/>
      <w:r w:rsidR="004D7B15">
        <w:t>of</w:t>
      </w:r>
      <w:proofErr w:type="spellEnd"/>
      <w:r w:rsidR="004D7B15">
        <w:t xml:space="preserve"> Technology) unterschrieben worden.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pStyle w:val="berschrift1"/>
        <w:ind w:left="-5"/>
      </w:pPr>
      <w:r>
        <w:t xml:space="preserve">Ziele und Zielgruppen </w:t>
      </w:r>
    </w:p>
    <w:p w:rsidR="003057B5" w:rsidRDefault="00C84246">
      <w:pPr>
        <w:spacing w:after="0" w:line="259" w:lineRule="auto"/>
        <w:ind w:left="0" w:firstLine="0"/>
      </w:pPr>
      <w:r>
        <w:rPr>
          <w:b/>
        </w:rPr>
        <w:t xml:space="preserve"> </w:t>
      </w:r>
    </w:p>
    <w:p w:rsidR="003057B5" w:rsidRDefault="0078633E">
      <w:pPr>
        <w:ind w:left="-5" w:right="46"/>
      </w:pPr>
      <w:r>
        <w:t xml:space="preserve">Als </w:t>
      </w:r>
      <w:r w:rsidR="00C84246">
        <w:t>Zielgruppe</w:t>
      </w:r>
      <w:r>
        <w:t xml:space="preserve"> wurden</w:t>
      </w:r>
      <w:r w:rsidR="00C84246">
        <w:t xml:space="preserve"> alle qualifizierten Studierenden, Mitarbeiter</w:t>
      </w:r>
      <w:r w:rsidR="00D74450">
        <w:t>Innen und ProfessorInnen</w:t>
      </w:r>
      <w:r>
        <w:t>, sowohl</w:t>
      </w:r>
      <w:r w:rsidR="00C84246">
        <w:t xml:space="preserve"> als Incomings </w:t>
      </w:r>
      <w:r>
        <w:t xml:space="preserve">als auch </w:t>
      </w:r>
      <w:r w:rsidR="00C84246">
        <w:t xml:space="preserve">als </w:t>
      </w:r>
      <w:proofErr w:type="spellStart"/>
      <w:r w:rsidR="00C84246">
        <w:t>Outgoings</w:t>
      </w:r>
      <w:proofErr w:type="spellEnd"/>
      <w:r>
        <w:t>, definiert</w:t>
      </w:r>
      <w:r w:rsidR="00C84246">
        <w:t xml:space="preserve">. </w:t>
      </w:r>
      <w:r w:rsidR="00396D85">
        <w:t>Die Qualifizierung wissenschaftlicher MitarbeiterIn</w:t>
      </w:r>
      <w:r w:rsidR="001D1E0F">
        <w:t>nen (</w:t>
      </w:r>
      <w:proofErr w:type="spellStart"/>
      <w:r w:rsidR="001D1E0F">
        <w:t>wissQua</w:t>
      </w:r>
      <w:proofErr w:type="spellEnd"/>
      <w:r w:rsidR="001D1E0F">
        <w:t>) kann</w:t>
      </w:r>
      <w:r w:rsidR="00396D85">
        <w:t xml:space="preserve"> durch Auslandsaufenthalte eine neue Dimension in der Anerkennung von wissenschaftlicher Weiterqualifizierung erfahren. </w:t>
      </w:r>
      <w:r w:rsidR="00C84246">
        <w:t xml:space="preserve">Zusätzlich werden </w:t>
      </w:r>
      <w:r w:rsidR="001D1E0F">
        <w:t>Bildungsausländer</w:t>
      </w:r>
      <w:r w:rsidR="00C84246">
        <w:t xml:space="preserve"> als besondere Zielgruppe erkannt. </w:t>
      </w:r>
      <w:r w:rsidR="00D74450">
        <w:t xml:space="preserve">Dabei sind die Studierenden mit Fluchthintergrund besonders zu betrachten und werden </w:t>
      </w:r>
      <w:r w:rsidR="001D1E0F">
        <w:t xml:space="preserve">im Rahmen der Möglichkeiten </w:t>
      </w:r>
      <w:r w:rsidR="00D74450">
        <w:t xml:space="preserve">verstärkt gefördert. </w:t>
      </w:r>
      <w:r w:rsidR="00D907DE">
        <w:t xml:space="preserve">Die Hochschule bemüht sich auch intensiv, die Qualifikation der genannten Personengruppen mit Blick auf geplante internationale Mobilität in Studium, Lehre und Training durch gezielte </w:t>
      </w:r>
      <w:r w:rsidR="00861AED">
        <w:t xml:space="preserve">inhouse </w:t>
      </w:r>
      <w:r w:rsidR="00780477">
        <w:t>Vorbereitungs</w:t>
      </w:r>
      <w:r w:rsidR="00D907DE">
        <w:t>angebote zu fördern.</w:t>
      </w:r>
    </w:p>
    <w:p w:rsidR="003057B5" w:rsidRDefault="003057B5">
      <w:pPr>
        <w:spacing w:after="0" w:line="259" w:lineRule="auto"/>
        <w:ind w:left="0" w:firstLine="0"/>
      </w:pPr>
    </w:p>
    <w:p w:rsidR="001D1E0F" w:rsidRDefault="001D1E0F">
      <w:pPr>
        <w:spacing w:after="0" w:line="259" w:lineRule="auto"/>
        <w:ind w:left="0" w:firstLine="0"/>
      </w:pPr>
    </w:p>
    <w:p w:rsidR="001D1E0F" w:rsidRDefault="001D1E0F">
      <w:pPr>
        <w:spacing w:after="0" w:line="259" w:lineRule="auto"/>
        <w:ind w:left="0" w:firstLine="0"/>
      </w:pPr>
    </w:p>
    <w:p w:rsidR="001D1E0F" w:rsidRDefault="001D1E0F">
      <w:pPr>
        <w:spacing w:after="0" w:line="259" w:lineRule="auto"/>
        <w:ind w:left="0" w:firstLine="0"/>
      </w:pPr>
    </w:p>
    <w:p w:rsidR="001D1E0F" w:rsidRDefault="001D1E0F">
      <w:pPr>
        <w:spacing w:after="0" w:line="259" w:lineRule="auto"/>
        <w:ind w:left="0" w:firstLine="0"/>
      </w:pPr>
    </w:p>
    <w:p w:rsidR="001D1E0F" w:rsidRDefault="001D1E0F">
      <w:pPr>
        <w:spacing w:after="0" w:line="259" w:lineRule="auto"/>
        <w:ind w:left="0" w:firstLine="0"/>
      </w:pPr>
    </w:p>
    <w:p w:rsidR="001D1E0F" w:rsidRDefault="001D1E0F">
      <w:pPr>
        <w:spacing w:after="0" w:line="259" w:lineRule="auto"/>
        <w:ind w:left="0" w:firstLine="0"/>
      </w:pPr>
    </w:p>
    <w:p w:rsidR="003057B5" w:rsidRDefault="00C84246">
      <w:pPr>
        <w:spacing w:after="0" w:line="259" w:lineRule="auto"/>
        <w:ind w:left="0" w:firstLine="0"/>
      </w:pPr>
      <w:r>
        <w:t xml:space="preserve"> </w:t>
      </w:r>
    </w:p>
    <w:p w:rsidR="003057B5" w:rsidRDefault="00C84246">
      <w:pPr>
        <w:pStyle w:val="berschrift1"/>
        <w:ind w:left="-5"/>
      </w:pPr>
      <w:r>
        <w:lastRenderedPageBreak/>
        <w:t xml:space="preserve">B) </w:t>
      </w:r>
    </w:p>
    <w:p w:rsidR="003057B5" w:rsidRDefault="00C84246">
      <w:pPr>
        <w:spacing w:after="0" w:line="259" w:lineRule="auto"/>
        <w:ind w:left="0" w:firstLine="0"/>
      </w:pPr>
      <w:r>
        <w:rPr>
          <w:b/>
        </w:rPr>
        <w:t xml:space="preserve"> </w:t>
      </w:r>
    </w:p>
    <w:p w:rsidR="003057B5" w:rsidRDefault="00C84246">
      <w:pPr>
        <w:spacing w:after="0" w:line="259" w:lineRule="auto"/>
        <w:ind w:left="-5"/>
      </w:pPr>
      <w:r>
        <w:rPr>
          <w:b/>
        </w:rPr>
        <w:t>ECTS:</w:t>
      </w:r>
      <w:r>
        <w:t xml:space="preserve">  </w:t>
      </w:r>
    </w:p>
    <w:p w:rsidR="003057B5" w:rsidRDefault="00C84246">
      <w:pPr>
        <w:ind w:left="-5" w:right="46"/>
      </w:pPr>
      <w:r>
        <w:t xml:space="preserve">Die wichtigste Maßnahme zur Qualitätssicherung ist die Anwendung </w:t>
      </w:r>
      <w:r w:rsidR="00B01A35">
        <w:t xml:space="preserve">des </w:t>
      </w:r>
      <w:r>
        <w:t xml:space="preserve">ECTS. </w:t>
      </w:r>
    </w:p>
    <w:p w:rsidR="003057B5" w:rsidRDefault="00C84246">
      <w:pPr>
        <w:ind w:left="-5" w:right="46"/>
      </w:pPr>
      <w:r>
        <w:t>Allen Studierenden werden ihre Leistungen, die sie im Rahmen des ERASMUS-</w:t>
      </w:r>
    </w:p>
    <w:p w:rsidR="003057B5" w:rsidRDefault="00C84246">
      <w:pPr>
        <w:ind w:left="-5" w:right="46"/>
      </w:pPr>
      <w:r>
        <w:t>Programms erbringen, anerkannt. Den Partnerhochschulen weltwei</w:t>
      </w:r>
      <w:r w:rsidR="00A50AEC">
        <w:t>t liegen die ECTS-Informationsp</w:t>
      </w:r>
      <w:r>
        <w:t>akete der HS</w:t>
      </w:r>
      <w:r w:rsidR="00A50AEC">
        <w:t xml:space="preserve"> KO </w:t>
      </w:r>
      <w:r>
        <w:t xml:space="preserve">vor. </w:t>
      </w:r>
      <w:r w:rsidR="0022357D">
        <w:t xml:space="preserve">Darüber hinaus sind alle relevanten Informationen online verfügbar und werden ständig gepflegt. </w:t>
      </w:r>
      <w:r>
        <w:t xml:space="preserve">Für alle internationalen Studierenden werden </w:t>
      </w:r>
      <w:r w:rsidR="007010F0">
        <w:t xml:space="preserve">jeweils </w:t>
      </w:r>
      <w:r>
        <w:t>Learning Agreements kooperativ zwischen den jeweiligen Hochschulen geschlossen</w:t>
      </w:r>
      <w:r w:rsidR="007010F0">
        <w:t xml:space="preserve"> und</w:t>
      </w:r>
      <w:r w:rsidR="00EA4EDC">
        <w:t xml:space="preserve"> ein</w:t>
      </w:r>
      <w:r w:rsidR="007010F0">
        <w:t xml:space="preserve"> </w:t>
      </w:r>
      <w:proofErr w:type="spellStart"/>
      <w:r w:rsidR="007010F0">
        <w:t>Transcript</w:t>
      </w:r>
      <w:proofErr w:type="spellEnd"/>
      <w:r w:rsidR="007010F0">
        <w:t xml:space="preserve"> </w:t>
      </w:r>
      <w:proofErr w:type="spellStart"/>
      <w:r w:rsidR="007010F0">
        <w:t>of</w:t>
      </w:r>
      <w:proofErr w:type="spellEnd"/>
      <w:r w:rsidR="007010F0">
        <w:t xml:space="preserve"> Records ausgestellt.</w:t>
      </w:r>
      <w:r>
        <w:t xml:space="preserve"> </w:t>
      </w:r>
    </w:p>
    <w:p w:rsidR="003057B5" w:rsidRDefault="00C84246">
      <w:pPr>
        <w:spacing w:after="0" w:line="259" w:lineRule="auto"/>
        <w:ind w:left="0" w:firstLine="0"/>
      </w:pPr>
      <w:r>
        <w:t xml:space="preserve"> </w:t>
      </w:r>
    </w:p>
    <w:p w:rsidR="003057B5" w:rsidRDefault="00C84246">
      <w:pPr>
        <w:spacing w:after="0" w:line="259" w:lineRule="auto"/>
        <w:ind w:left="-5"/>
      </w:pPr>
      <w:r>
        <w:rPr>
          <w:b/>
        </w:rPr>
        <w:t xml:space="preserve">Betreuung der </w:t>
      </w:r>
      <w:proofErr w:type="spellStart"/>
      <w:r w:rsidR="00B1209F">
        <w:rPr>
          <w:b/>
        </w:rPr>
        <w:t>Outgoing</w:t>
      </w:r>
      <w:proofErr w:type="spellEnd"/>
      <w:r w:rsidR="00B1209F">
        <w:rPr>
          <w:b/>
        </w:rPr>
        <w:t xml:space="preserve"> </w:t>
      </w:r>
      <w:r>
        <w:rPr>
          <w:b/>
        </w:rPr>
        <w:t>Studierenden:</w:t>
      </w:r>
      <w:r>
        <w:t xml:space="preserve">  </w:t>
      </w:r>
    </w:p>
    <w:p w:rsidR="00E85220" w:rsidRPr="00D61CB2" w:rsidRDefault="00B1209F">
      <w:pPr>
        <w:ind w:left="-5" w:right="46"/>
        <w:rPr>
          <w:color w:val="auto"/>
        </w:rPr>
      </w:pPr>
      <w:r w:rsidRPr="00EA4EDC">
        <w:rPr>
          <w:b/>
        </w:rPr>
        <w:t>Vor</w:t>
      </w:r>
      <w:r>
        <w:t xml:space="preserve"> der Mobilität werden die </w:t>
      </w:r>
      <w:proofErr w:type="spellStart"/>
      <w:r w:rsidR="00C84246">
        <w:t>Outgoi</w:t>
      </w:r>
      <w:r w:rsidR="00D74450">
        <w:t>ngs</w:t>
      </w:r>
      <w:proofErr w:type="spellEnd"/>
      <w:r w:rsidR="00D74450">
        <w:t xml:space="preserve"> in den Fachbereichen, vom International Office </w:t>
      </w:r>
      <w:r w:rsidR="00C84246">
        <w:t>und von</w:t>
      </w:r>
      <w:r w:rsidR="00EA4EDC">
        <w:t xml:space="preserve"> der Abteilung</w:t>
      </w:r>
      <w:r w:rsidR="00C84246">
        <w:t xml:space="preserve"> Sprachen/Internationales beraten. </w:t>
      </w:r>
      <w:r>
        <w:t>Zentral ist die Frage nach der Anerkennung der im Ausland erbrachten Studienleistungen. Dazu gibt es Beratungsprozesse, die im Intranet mit den entsprechenden Nominierungsfristen abgebildet sind.</w:t>
      </w:r>
      <w:r w:rsidR="00E85220">
        <w:t xml:space="preserve"> In einer </w:t>
      </w:r>
      <w:proofErr w:type="spellStart"/>
      <w:r w:rsidR="00E85220">
        <w:t>Pre</w:t>
      </w:r>
      <w:proofErr w:type="spellEnd"/>
      <w:r w:rsidR="00E85220">
        <w:t>-Departure Veranstaltung, die verpflichtend für alle TeilnehmerInnen des ERASMUS Programms ist, werden vor allem Fragen zur Versicherungen und Sicherheit im Ausland erörtert.</w:t>
      </w:r>
      <w:r>
        <w:t xml:space="preserve"> Eben</w:t>
      </w:r>
      <w:r w:rsidR="00EA4EDC">
        <w:t>s</w:t>
      </w:r>
      <w:r>
        <w:t>o</w:t>
      </w:r>
      <w:r w:rsidR="00EA4EDC">
        <w:t xml:space="preserve"> </w:t>
      </w:r>
      <w:r>
        <w:t xml:space="preserve">werden Fragen der Finanzierung, Versicherung und Wohnraumbeschaffung erörtert. Die sprachliche Vorbereitung erfolgt am </w:t>
      </w:r>
      <w:proofErr w:type="spellStart"/>
      <w:r w:rsidR="00EA4EDC">
        <w:t>RheinAhrCampus</w:t>
      </w:r>
      <w:proofErr w:type="spellEnd"/>
      <w:r w:rsidR="00EA4EDC">
        <w:t xml:space="preserve"> </w:t>
      </w:r>
      <w:r>
        <w:t>in der Abteilung „Sprachen/Internationales“ und am RMC beim CCS (</w:t>
      </w:r>
      <w:proofErr w:type="spellStart"/>
      <w:r>
        <w:t>Centre</w:t>
      </w:r>
      <w:proofErr w:type="spellEnd"/>
      <w:r>
        <w:t xml:space="preserve"> für Communication Studies). </w:t>
      </w:r>
      <w:r w:rsidR="00E85220" w:rsidRPr="00D61CB2">
        <w:rPr>
          <w:color w:val="auto"/>
        </w:rPr>
        <w:t xml:space="preserve">Während der Mobilität stellt die Erasmus Sachbearbeitung einen guten Emailkontakt sicher und dient somit als Anlaufstelle bei Problemen während der Mobilität oder Fragen zu den weiteren Abläufen. Mobile Studierende können so bereits während Ihres Aufenthaltes die nächste Generation von ERASMUS </w:t>
      </w:r>
      <w:proofErr w:type="spellStart"/>
      <w:r w:rsidR="00E85220" w:rsidRPr="00D61CB2">
        <w:rPr>
          <w:color w:val="auto"/>
        </w:rPr>
        <w:t>Outgoings</w:t>
      </w:r>
      <w:proofErr w:type="spellEnd"/>
      <w:r w:rsidR="00E85220" w:rsidRPr="00D61CB2">
        <w:rPr>
          <w:color w:val="auto"/>
        </w:rPr>
        <w:t xml:space="preserve"> aktiv bei der Planung ihrer Auslandsmobilität unterstützen</w:t>
      </w:r>
      <w:r w:rsidR="00D61CB2">
        <w:rPr>
          <w:color w:val="auto"/>
        </w:rPr>
        <w:t>.</w:t>
      </w:r>
    </w:p>
    <w:p w:rsidR="00B1209F" w:rsidRDefault="00B1209F">
      <w:pPr>
        <w:ind w:left="-5" w:right="46"/>
      </w:pPr>
      <w:r w:rsidRPr="00B1209F">
        <w:rPr>
          <w:b/>
        </w:rPr>
        <w:t>Nach</w:t>
      </w:r>
      <w:r>
        <w:t xml:space="preserve"> der Mobilität werden die erbrachten Lei</w:t>
      </w:r>
      <w:r w:rsidR="00CB116D">
        <w:t>s</w:t>
      </w:r>
      <w:r>
        <w:t xml:space="preserve">tungen </w:t>
      </w:r>
      <w:r w:rsidR="008A357C">
        <w:t>in die Notendatei in den jeweiligen Prüfungsämtern erfasst.</w:t>
      </w:r>
      <w:r w:rsidR="00C72883">
        <w:t xml:space="preserve"> </w:t>
      </w:r>
      <w:r w:rsidR="00CB116D">
        <w:t>Die Studierenden geben immer eine</w:t>
      </w:r>
      <w:r w:rsidR="00A50AEC">
        <w:t>n schriftlichen Bericht ab, (</w:t>
      </w:r>
      <w:r w:rsidR="00CB116D">
        <w:t>im Internet bzw. i</w:t>
      </w:r>
      <w:r w:rsidR="00C93444">
        <w:t xml:space="preserve">n einem </w:t>
      </w:r>
      <w:proofErr w:type="spellStart"/>
      <w:r w:rsidR="00C93444">
        <w:t>Open</w:t>
      </w:r>
      <w:r w:rsidR="00CB116D">
        <w:t>OLAT</w:t>
      </w:r>
      <w:proofErr w:type="spellEnd"/>
      <w:r w:rsidR="00CB116D">
        <w:t xml:space="preserve"> Kurs</w:t>
      </w:r>
      <w:r w:rsidR="00A50AEC">
        <w:t>)</w:t>
      </w:r>
      <w:r w:rsidR="00C93444">
        <w:t>, der erste Informationen zu den Partnerhochschulen der HS KO bereitstellt</w:t>
      </w:r>
      <w:r w:rsidR="00A50AEC">
        <w:t xml:space="preserve"> und </w:t>
      </w:r>
      <w:r w:rsidR="00CB116D">
        <w:t>anderen interessierten Studierenden zur Verfügung gestellt wird.</w:t>
      </w:r>
      <w:r w:rsidR="00C72883">
        <w:t xml:space="preserve"> Die zurückkehrenden Studierenden werden auch bei Informationsveranstaltungen des International Office als Referenten</w:t>
      </w:r>
      <w:r w:rsidR="00B16847">
        <w:t xml:space="preserve"> </w:t>
      </w:r>
      <w:r w:rsidR="00C72883">
        <w:t>/ Botschafter eingesetzt.</w:t>
      </w:r>
    </w:p>
    <w:p w:rsidR="00C72883" w:rsidRDefault="00C72883">
      <w:pPr>
        <w:ind w:left="-5" w:right="46"/>
      </w:pPr>
    </w:p>
    <w:p w:rsidR="00A50AEC" w:rsidRDefault="00C72883" w:rsidP="00C72883">
      <w:pPr>
        <w:ind w:left="-5" w:right="46"/>
      </w:pPr>
      <w:r>
        <w:t xml:space="preserve">Auch die Betreuung der Incomings gliedert sich in drei Phasen. Incomings werden zentral vom International Office und von Sprachen/Internationales betreut. </w:t>
      </w:r>
      <w:r w:rsidRPr="00C72883">
        <w:rPr>
          <w:b/>
        </w:rPr>
        <w:t xml:space="preserve">Vor </w:t>
      </w:r>
      <w:r>
        <w:t xml:space="preserve">Beginn und nach Nominierung der Studierenden, können viele Informationen auf der Internetseite abgerufen werden. Jeder Incoming wird persönlich per Email begrüßt und </w:t>
      </w:r>
      <w:r w:rsidR="00B16847">
        <w:t>erhält</w:t>
      </w:r>
      <w:r>
        <w:t xml:space="preserve"> die wichtigsten Informationen </w:t>
      </w:r>
      <w:r w:rsidR="00B16847">
        <w:t>für seinen Aufenthalt an der HS Koblenz</w:t>
      </w:r>
      <w:r>
        <w:t>. Ebenso wird für jeden Incoming Studierenden ein</w:t>
      </w:r>
      <w:r w:rsidR="00A50AEC">
        <w:t xml:space="preserve">e Orientierungswoche angeboten und Hilfe bei der Wohnraumbeschaffung zur Verfügung gestellt. </w:t>
      </w:r>
      <w:r w:rsidRPr="00C72883">
        <w:rPr>
          <w:b/>
        </w:rPr>
        <w:t>Während</w:t>
      </w:r>
      <w:r>
        <w:t xml:space="preserve"> der Mobilität organisieren das International Office und die Abteilung Sprac</w:t>
      </w:r>
      <w:r w:rsidR="00A50AEC">
        <w:t xml:space="preserve">hen/Internationales ein </w:t>
      </w:r>
      <w:r>
        <w:t xml:space="preserve">Semesterprogramm, </w:t>
      </w:r>
      <w:r w:rsidR="00C93444">
        <w:t>D</w:t>
      </w:r>
      <w:r>
        <w:t xml:space="preserve">eutsch-Intensivkurse und </w:t>
      </w:r>
      <w:proofErr w:type="spellStart"/>
      <w:r>
        <w:t>deutschlandkundliche</w:t>
      </w:r>
      <w:proofErr w:type="spellEnd"/>
      <w:r>
        <w:t xml:space="preserve"> Veranstaltungen. Dabei wirkt die im Jahr 2018 bestätigte ESN (</w:t>
      </w:r>
      <w:r w:rsidR="00E85220">
        <w:t xml:space="preserve">Erasmus </w:t>
      </w:r>
      <w:r>
        <w:t>Student Network</w:t>
      </w:r>
      <w:r w:rsidR="00C93444">
        <w:t xml:space="preserve">) </w:t>
      </w:r>
      <w:proofErr w:type="spellStart"/>
      <w:r w:rsidR="00C93444">
        <w:t>Sektion</w:t>
      </w:r>
      <w:r>
        <w:t>Koblenz</w:t>
      </w:r>
      <w:proofErr w:type="spellEnd"/>
      <w:r>
        <w:t xml:space="preserve"> maßgeblich mit. Persönliche Mentoren</w:t>
      </w:r>
      <w:r w:rsidR="00C84246">
        <w:t xml:space="preserve"> und zusätzliche Tutorien </w:t>
      </w:r>
      <w:r w:rsidR="004D1B33">
        <w:t xml:space="preserve">werden </w:t>
      </w:r>
      <w:r>
        <w:t xml:space="preserve">außerdem </w:t>
      </w:r>
      <w:r w:rsidR="004D1B33">
        <w:t>bereitgestellt</w:t>
      </w:r>
      <w:r w:rsidR="00C84246">
        <w:t xml:space="preserve">. </w:t>
      </w:r>
    </w:p>
    <w:p w:rsidR="00A50AEC" w:rsidRDefault="00C72883" w:rsidP="00C72883">
      <w:pPr>
        <w:ind w:left="-5" w:right="46"/>
      </w:pPr>
      <w:r w:rsidRPr="00C72883">
        <w:rPr>
          <w:b/>
        </w:rPr>
        <w:t xml:space="preserve">Nach </w:t>
      </w:r>
      <w:r>
        <w:t xml:space="preserve">Abschluss des Gaststudiums werden in den Fachbereichen die </w:t>
      </w:r>
      <w:proofErr w:type="spellStart"/>
      <w:r>
        <w:t>Transcripts</w:t>
      </w:r>
      <w:proofErr w:type="spellEnd"/>
      <w:r w:rsidR="00C93444">
        <w:t xml:space="preserve"> </w:t>
      </w:r>
      <w:proofErr w:type="spellStart"/>
      <w:r w:rsidR="00C93444">
        <w:t>of</w:t>
      </w:r>
      <w:proofErr w:type="spellEnd"/>
      <w:r w:rsidR="00C93444">
        <w:t xml:space="preserve"> Records</w:t>
      </w:r>
      <w:r>
        <w:t xml:space="preserve"> erstellt und an die Studierenden verschickt. </w:t>
      </w:r>
    </w:p>
    <w:p w:rsidR="003057B5" w:rsidRDefault="00C72883" w:rsidP="00C72883">
      <w:pPr>
        <w:ind w:left="-5" w:right="46"/>
      </w:pPr>
      <w:r>
        <w:lastRenderedPageBreak/>
        <w:t>Die ERASMUS Incomings werden um Evaluierung ihres Aufenthaltes gebeten. Aus den Ergebnissen können Verbesserungen des Betreuungsangebotes abgeleitet werden.</w:t>
      </w:r>
    </w:p>
    <w:p w:rsidR="003057B5" w:rsidRDefault="00C84246">
      <w:pPr>
        <w:spacing w:after="0" w:line="259" w:lineRule="auto"/>
        <w:ind w:left="0" w:firstLine="0"/>
      </w:pPr>
      <w:r>
        <w:t xml:space="preserve"> </w:t>
      </w:r>
    </w:p>
    <w:p w:rsidR="003057B5" w:rsidRDefault="00C84246">
      <w:pPr>
        <w:spacing w:after="0" w:line="259" w:lineRule="auto"/>
        <w:ind w:left="-5"/>
      </w:pPr>
      <w:r>
        <w:rPr>
          <w:b/>
        </w:rPr>
        <w:t>Unterstützung der Auslandsakteure:</w:t>
      </w:r>
      <w:r>
        <w:t xml:space="preserve">  </w:t>
      </w:r>
    </w:p>
    <w:p w:rsidR="003057B5" w:rsidRDefault="00C84246">
      <w:pPr>
        <w:ind w:left="-5" w:right="46"/>
      </w:pPr>
      <w:r>
        <w:t xml:space="preserve">Die HS </w:t>
      </w:r>
      <w:r w:rsidR="00C93444">
        <w:t xml:space="preserve">KO </w:t>
      </w:r>
      <w:r>
        <w:t>unterstützt</w:t>
      </w:r>
      <w:r w:rsidR="004D1B33">
        <w:t xml:space="preserve"> und fördert</w:t>
      </w:r>
      <w:r>
        <w:t xml:space="preserve"> die Lehrenden und </w:t>
      </w:r>
      <w:r w:rsidR="009E1228">
        <w:t xml:space="preserve">alle </w:t>
      </w:r>
      <w:r>
        <w:t>andere</w:t>
      </w:r>
      <w:r w:rsidR="009E1228">
        <w:t>n</w:t>
      </w:r>
      <w:r>
        <w:t xml:space="preserve"> Mitarbeitende</w:t>
      </w:r>
      <w:r w:rsidR="009E1228">
        <w:t>n</w:t>
      </w:r>
      <w:r w:rsidR="002960CF">
        <w:t xml:space="preserve"> </w:t>
      </w:r>
      <w:r>
        <w:t>administrativ bei i</w:t>
      </w:r>
      <w:r w:rsidR="002960CF">
        <w:t xml:space="preserve">hren internationalen Projekten, wobei finanzielle Unterstützung in erster Linie durch die Fachbereiche erfolgt. Zentral wird die Einwerbung von Drittmitteln unterstützt: </w:t>
      </w:r>
      <w:r w:rsidR="00C93444">
        <w:t>Dies umfasst die Beratung zu Förderprogrammen und das Bereitstellen von Informationen zu Fortbildungsmöglichkeiten.</w:t>
      </w:r>
      <w:r w:rsidR="00D61CB2">
        <w:t xml:space="preserve"> </w:t>
      </w:r>
      <w:r w:rsidR="00C93444">
        <w:t xml:space="preserve">Darüber hinaus unterstützt </w:t>
      </w:r>
      <w:r w:rsidR="009E1228">
        <w:t>das</w:t>
      </w:r>
      <w:r w:rsidR="00C93444">
        <w:t xml:space="preserve"> International Office, in Zusammenarbeit mit der Abteilung Qualitätsmanagement</w:t>
      </w:r>
      <w:r w:rsidR="009E1228">
        <w:t>,</w:t>
      </w:r>
      <w:r w:rsidR="00C93444">
        <w:t xml:space="preserve"> bei der Antragsstellung.</w:t>
      </w:r>
      <w:r w:rsidR="00396D85">
        <w:t xml:space="preserve"> </w:t>
      </w:r>
    </w:p>
    <w:p w:rsidR="0002095D" w:rsidRDefault="0002095D">
      <w:pPr>
        <w:ind w:left="-5" w:right="46"/>
      </w:pPr>
    </w:p>
    <w:p w:rsidR="003057B5" w:rsidRDefault="00C84246">
      <w:pPr>
        <w:spacing w:after="0" w:line="259" w:lineRule="auto"/>
        <w:ind w:left="0" w:firstLine="0"/>
      </w:pPr>
      <w:r>
        <w:t xml:space="preserve"> </w:t>
      </w:r>
    </w:p>
    <w:p w:rsidR="003057B5" w:rsidRDefault="00C84246">
      <w:pPr>
        <w:spacing w:after="0" w:line="259" w:lineRule="auto"/>
        <w:ind w:left="-5"/>
      </w:pPr>
      <w:r>
        <w:rPr>
          <w:b/>
        </w:rPr>
        <w:t>Unterkunft:</w:t>
      </w:r>
      <w:r>
        <w:t xml:space="preserve">  </w:t>
      </w:r>
    </w:p>
    <w:p w:rsidR="009E1228" w:rsidRDefault="009E1228">
      <w:pPr>
        <w:ind w:left="-5" w:right="46"/>
      </w:pPr>
      <w:r>
        <w:t>Die</w:t>
      </w:r>
      <w:r w:rsidR="00C84246">
        <w:t xml:space="preserve"> internationalen Lehrenden und Studierenden</w:t>
      </w:r>
      <w:r>
        <w:t xml:space="preserve"> werden</w:t>
      </w:r>
      <w:r w:rsidR="00C84246">
        <w:t xml:space="preserve"> </w:t>
      </w:r>
      <w:r w:rsidR="002960CF">
        <w:t xml:space="preserve">in der Regel </w:t>
      </w:r>
      <w:r w:rsidR="00C84246">
        <w:t xml:space="preserve">in den von Studierendenwerk und privaten Trägern betriebenen Studierendenwohnheimen </w:t>
      </w:r>
      <w:r>
        <w:t xml:space="preserve">untergebracht </w:t>
      </w:r>
      <w:r w:rsidR="00C84246">
        <w:t>oder</w:t>
      </w:r>
      <w:r>
        <w:t xml:space="preserve"> erhalten</w:t>
      </w:r>
      <w:r w:rsidR="00C84246">
        <w:t xml:space="preserve"> durch Vermittlung </w:t>
      </w:r>
      <w:r>
        <w:t>ein</w:t>
      </w:r>
      <w:r w:rsidR="002960CF">
        <w:t>en</w:t>
      </w:r>
      <w:r>
        <w:t xml:space="preserve"> </w:t>
      </w:r>
      <w:r w:rsidR="00C84246">
        <w:t>WG-Pl</w:t>
      </w:r>
      <w:r>
        <w:t>atz</w:t>
      </w:r>
      <w:r w:rsidR="00C84246">
        <w:t xml:space="preserve">. </w:t>
      </w:r>
      <w:r>
        <w:t xml:space="preserve">Darüber hinaus haben sich </w:t>
      </w:r>
      <w:r w:rsidR="00C84246">
        <w:t xml:space="preserve">Wohn-Tandems zwischen Incomings und </w:t>
      </w:r>
      <w:proofErr w:type="spellStart"/>
      <w:r w:rsidR="00C84246">
        <w:t>Outgoings</w:t>
      </w:r>
      <w:proofErr w:type="spellEnd"/>
      <w:r>
        <w:t xml:space="preserve"> etabliert, bei denen </w:t>
      </w:r>
      <w:proofErr w:type="spellStart"/>
      <w:r>
        <w:t>Outgoings</w:t>
      </w:r>
      <w:proofErr w:type="spellEnd"/>
      <w:r>
        <w:t xml:space="preserve"> der HS Koblenz ihr WG- oder Wohnheimzimmer für das jeweilige Semester für Incomings zur Verfügung stellen.</w:t>
      </w:r>
    </w:p>
    <w:p w:rsidR="009E1228" w:rsidRDefault="009E1228">
      <w:pPr>
        <w:ind w:left="-5" w:right="46"/>
      </w:pPr>
    </w:p>
    <w:p w:rsidR="003057B5" w:rsidRDefault="003057B5">
      <w:pPr>
        <w:ind w:left="-5" w:right="46"/>
      </w:pP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spacing w:after="0" w:line="259" w:lineRule="auto"/>
        <w:ind w:left="-5"/>
      </w:pPr>
      <w:r>
        <w:rPr>
          <w:b/>
        </w:rPr>
        <w:t>Umsetzung und kontinuierliche Verbesserung:</w:t>
      </w:r>
      <w:r>
        <w:t xml:space="preserve">  </w:t>
      </w:r>
    </w:p>
    <w:p w:rsidR="003057B5" w:rsidRDefault="00C84246">
      <w:pPr>
        <w:spacing w:after="0" w:line="259" w:lineRule="auto"/>
        <w:ind w:left="0" w:firstLine="0"/>
      </w:pPr>
      <w:r>
        <w:t xml:space="preserve"> </w:t>
      </w:r>
    </w:p>
    <w:p w:rsidR="003057B5" w:rsidRDefault="00C84246">
      <w:pPr>
        <w:ind w:left="-5" w:right="46"/>
      </w:pPr>
      <w:r>
        <w:t xml:space="preserve">Für die kontinuierliche Steigerung der Internationalität der Hochschule und die </w:t>
      </w:r>
    </w:p>
    <w:p w:rsidR="003057B5" w:rsidRDefault="00C84246">
      <w:pPr>
        <w:ind w:left="-5" w:right="46"/>
      </w:pPr>
      <w:r>
        <w:t>Umse</w:t>
      </w:r>
      <w:r w:rsidR="00B64372">
        <w:t>tzung der o.g. Ziele setzen sich</w:t>
      </w:r>
      <w:r>
        <w:t xml:space="preserve"> das International Office, der Bereich </w:t>
      </w:r>
    </w:p>
    <w:p w:rsidR="003057B5" w:rsidRDefault="00C84246">
      <w:pPr>
        <w:ind w:left="-5" w:right="46"/>
      </w:pPr>
      <w:r>
        <w:t>„Sprachen/Internationales“, das ERASMUS-Büro sowie die Beauftragten für In</w:t>
      </w:r>
      <w:r w:rsidR="00B64372">
        <w:t xml:space="preserve">ternationales der Fachbereiche ein. </w:t>
      </w:r>
    </w:p>
    <w:p w:rsidR="009E1228" w:rsidRDefault="009E1228">
      <w:pPr>
        <w:ind w:left="-5" w:right="46"/>
      </w:pPr>
      <w:r>
        <w:t xml:space="preserve">Das International Office ist </w:t>
      </w:r>
      <w:r w:rsidR="00B64372">
        <w:t>zentraler Dienstleister</w:t>
      </w:r>
      <w:r>
        <w:t xml:space="preserve"> </w:t>
      </w:r>
      <w:r w:rsidR="00B64372">
        <w:t xml:space="preserve">und unterstützt alle </w:t>
      </w:r>
      <w:r w:rsidR="0062160D">
        <w:t>Internationalisierungsbestrebung</w:t>
      </w:r>
      <w:r w:rsidR="00B64372">
        <w:t xml:space="preserve">en der HS KO. </w:t>
      </w:r>
      <w:r w:rsidR="0062160D">
        <w:t xml:space="preserve"> Hierzu arbeitet das IO eng mit dem Bereich „Sprachen/Internationales“ und den Beauftragten für Internationales der Fachbereiche zusammen.</w:t>
      </w:r>
    </w:p>
    <w:p w:rsidR="00D74450" w:rsidRDefault="00D74450">
      <w:pPr>
        <w:ind w:left="-5" w:right="46"/>
      </w:pPr>
      <w:r>
        <w:t>Die Gruppe der Internationalisierungsbeauftragen, Vert</w:t>
      </w:r>
      <w:r w:rsidR="00801615">
        <w:t>r</w:t>
      </w:r>
      <w:r>
        <w:t xml:space="preserve">eterInnen des International Office und der Abteilung „Sprachen/Internationales“ treffen sich mindestens einmal im Semester, um sich über aktuelle Entwicklungen und internationale Themen auszutauschen. </w:t>
      </w:r>
    </w:p>
    <w:p w:rsidR="00B64372" w:rsidRDefault="00B64372">
      <w:pPr>
        <w:ind w:left="-5" w:right="46"/>
      </w:pPr>
      <w:r>
        <w:t xml:space="preserve">Der Senat wird um die Einrichtung eines Ausschusses für Internationales gebeten. </w:t>
      </w:r>
    </w:p>
    <w:p w:rsidR="003057B5" w:rsidRDefault="00C84246">
      <w:pPr>
        <w:spacing w:after="0" w:line="259" w:lineRule="auto"/>
        <w:ind w:left="0" w:firstLine="0"/>
      </w:pPr>
      <w:r>
        <w:t xml:space="preserve"> </w:t>
      </w:r>
    </w:p>
    <w:p w:rsidR="003057B5" w:rsidRDefault="00C84246">
      <w:pPr>
        <w:pStyle w:val="berschrift1"/>
        <w:ind w:left="-5"/>
      </w:pPr>
      <w:r>
        <w:t xml:space="preserve">C) </w:t>
      </w:r>
    </w:p>
    <w:p w:rsidR="00C6714A" w:rsidRDefault="00C84246" w:rsidP="00801615">
      <w:pPr>
        <w:ind w:left="-5" w:right="46"/>
      </w:pPr>
      <w:r>
        <w:t xml:space="preserve">Die Hochschule leistet im Rahmen des Hochschulpakts ihren Beitrag zur </w:t>
      </w:r>
      <w:r w:rsidR="00B64372">
        <w:t xml:space="preserve">Verbesserung </w:t>
      </w:r>
      <w:r>
        <w:t xml:space="preserve">des Bildungsgrads zur Deckung </w:t>
      </w:r>
      <w:r w:rsidR="00B64372">
        <w:t>europäischen</w:t>
      </w:r>
      <w:r w:rsidR="00D74450">
        <w:t xml:space="preserve"> Bedarf</w:t>
      </w:r>
      <w:r w:rsidR="00B64372">
        <w:t>s</w:t>
      </w:r>
      <w:r w:rsidR="00D74450">
        <w:t xml:space="preserve"> an AkademikerInnen und ForscherInnen</w:t>
      </w:r>
      <w:r>
        <w:t xml:space="preserve"> durch die Bereitstel</w:t>
      </w:r>
      <w:r w:rsidR="00B64372">
        <w:t>lung zusätzlicher Studienplatzk</w:t>
      </w:r>
      <w:r>
        <w:t xml:space="preserve">apazitäten. Die Teilnahme am ERASMUS-Programm ermöglicht es der Hochschule Koblenz, der wachsenden Studierendenpopulation ein </w:t>
      </w:r>
      <w:r w:rsidR="00C6714A">
        <w:t xml:space="preserve">qualitativ hochwertiges </w:t>
      </w:r>
      <w:r>
        <w:t xml:space="preserve">Studium mit internationalen Komponenten </w:t>
      </w:r>
      <w:r w:rsidR="00801615">
        <w:t>an</w:t>
      </w:r>
      <w:r>
        <w:t xml:space="preserve">zubieten. </w:t>
      </w:r>
    </w:p>
    <w:p w:rsidR="00C6714A" w:rsidRDefault="00C6714A" w:rsidP="00801615">
      <w:pPr>
        <w:ind w:left="-5" w:right="46"/>
      </w:pPr>
    </w:p>
    <w:p w:rsidR="00C6714A" w:rsidRDefault="00C6714A" w:rsidP="00801615">
      <w:pPr>
        <w:ind w:left="-5" w:right="46"/>
      </w:pPr>
    </w:p>
    <w:p w:rsidR="003057B5" w:rsidRDefault="00C84246" w:rsidP="00C6714A">
      <w:pPr>
        <w:ind w:left="-5" w:right="46"/>
      </w:pPr>
      <w:r>
        <w:lastRenderedPageBreak/>
        <w:t>Zugleich ermöglicht die Teilnahme am ERASMUS-Programm einer maximalen Zahl von Studierenden, den Schritt von de</w:t>
      </w:r>
      <w:r w:rsidR="00C6714A">
        <w:t>r virtuellen Seminarraumu</w:t>
      </w:r>
      <w:r>
        <w:t xml:space="preserve">mgebung in das reale Trainingsumfeld eines internationalen Praktikums zu beschreiten und so die Relevanz der Studieninhalte für die spätere berufliche Praxis nachhaltig zu erhöhen. </w:t>
      </w:r>
    </w:p>
    <w:p w:rsidR="003057B5" w:rsidRDefault="00C84246">
      <w:pPr>
        <w:spacing w:after="0" w:line="259" w:lineRule="auto"/>
        <w:ind w:left="0" w:firstLine="0"/>
      </w:pPr>
      <w:r>
        <w:t xml:space="preserve"> </w:t>
      </w:r>
    </w:p>
    <w:p w:rsidR="003057B5" w:rsidRDefault="00C84246">
      <w:pPr>
        <w:ind w:left="-5" w:right="46"/>
      </w:pPr>
      <w:r>
        <w:t xml:space="preserve">Die Hochschule Koblenz strebt Modernisierung und Qualitätssteigerung durch Mobilität und grenzübergreifende Zusammenarbeit an. Dabei reicht bei einigen Aktivitäten nicht mehr der europäische Rahmen, sondern es wird strategisch auch Austausch mit Drittländern (z. B. China, Jordanien, </w:t>
      </w:r>
      <w:r w:rsidR="00CF64EC">
        <w:t xml:space="preserve">Kaukasus-Region, </w:t>
      </w:r>
      <w:r w:rsidR="00D74450">
        <w:t xml:space="preserve">Südafrika, </w:t>
      </w:r>
      <w:r w:rsidR="00CF64EC">
        <w:t xml:space="preserve">Indien, </w:t>
      </w:r>
      <w:r w:rsidR="001505EF">
        <w:t xml:space="preserve">Brasilien, Kanada, </w:t>
      </w:r>
      <w:r>
        <w:t xml:space="preserve">Australien) </w:t>
      </w:r>
      <w:r w:rsidR="00C6714A">
        <w:t>gepflegt</w:t>
      </w:r>
      <w:r>
        <w:t xml:space="preserve">.  </w:t>
      </w:r>
    </w:p>
    <w:p w:rsidR="0002095D" w:rsidRDefault="0002095D">
      <w:pPr>
        <w:ind w:left="-5" w:right="46"/>
      </w:pPr>
    </w:p>
    <w:p w:rsidR="0002095D" w:rsidRDefault="0002095D">
      <w:pPr>
        <w:ind w:left="-5" w:right="46"/>
      </w:pP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spacing w:after="0" w:line="259" w:lineRule="auto"/>
        <w:ind w:left="-5"/>
      </w:pPr>
      <w:r>
        <w:rPr>
          <w:b/>
        </w:rPr>
        <w:t xml:space="preserve">Priorität bei der Internationalisierung haben die Aktionen: </w:t>
      </w:r>
    </w:p>
    <w:p w:rsidR="003057B5" w:rsidRDefault="00C84246">
      <w:pPr>
        <w:spacing w:after="0" w:line="259" w:lineRule="auto"/>
        <w:ind w:left="0" w:firstLine="0"/>
      </w:pPr>
      <w:r>
        <w:rPr>
          <w:b/>
        </w:rPr>
        <w:t xml:space="preserve"> </w:t>
      </w:r>
    </w:p>
    <w:p w:rsidR="003057B5" w:rsidRDefault="00C84246">
      <w:pPr>
        <w:ind w:left="720" w:right="46" w:hanging="360"/>
      </w:pPr>
      <w:r>
        <w:rPr>
          <w:noProof/>
        </w:rPr>
        <w:drawing>
          <wp:inline distT="0" distB="0" distL="0" distR="0" wp14:anchorId="51E302F6" wp14:editId="0CF5666C">
            <wp:extent cx="140208" cy="185928"/>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6"/>
                    <a:stretch>
                      <a:fillRect/>
                    </a:stretch>
                  </pic:blipFill>
                  <pic:spPr>
                    <a:xfrm>
                      <a:off x="0" y="0"/>
                      <a:ext cx="140208" cy="185928"/>
                    </a:xfrm>
                    <a:prstGeom prst="rect">
                      <a:avLst/>
                    </a:prstGeom>
                  </pic:spPr>
                </pic:pic>
              </a:graphicData>
            </a:graphic>
          </wp:inline>
        </w:drawing>
      </w:r>
      <w:r>
        <w:t xml:space="preserve"> Mobilität von Studierenden („</w:t>
      </w:r>
      <w:proofErr w:type="spellStart"/>
      <w:r>
        <w:t>credit</w:t>
      </w:r>
      <w:proofErr w:type="spellEnd"/>
      <w:r>
        <w:t xml:space="preserve"> </w:t>
      </w:r>
      <w:proofErr w:type="spellStart"/>
      <w:r>
        <w:t>mobility</w:t>
      </w:r>
      <w:proofErr w:type="spellEnd"/>
      <w:r>
        <w:t xml:space="preserve">“), bei der Studierende zeitweise im Ausland studieren oder ihr Praktikum absolvieren. Hier sollen wegen des hohen Praxisbezugs der Studiengänge vor allem </w:t>
      </w:r>
      <w:r w:rsidR="00C6714A">
        <w:t xml:space="preserve">die Zahl der </w:t>
      </w:r>
      <w:r>
        <w:t xml:space="preserve">Praktika in Europa gesteigert werden. </w:t>
      </w:r>
    </w:p>
    <w:p w:rsidR="00E85220" w:rsidRDefault="00C84246" w:rsidP="00E85220">
      <w:pPr>
        <w:pStyle w:val="Listenabsatz"/>
        <w:numPr>
          <w:ilvl w:val="0"/>
          <w:numId w:val="5"/>
        </w:numPr>
        <w:ind w:right="46"/>
      </w:pPr>
      <w:r>
        <w:t xml:space="preserve">Personal-Mobilität, bei der akademisches und </w:t>
      </w:r>
      <w:r w:rsidRPr="00E85220">
        <w:rPr>
          <w:color w:val="auto"/>
        </w:rPr>
        <w:t xml:space="preserve">nicht-akademisches Personal </w:t>
      </w:r>
      <w:r>
        <w:t xml:space="preserve">zwischen Partnerhochschulen ausgetauscht wird, soll vor allem zum Wissenstransfer zwischen den Partnerhochschulen genutzt werden. </w:t>
      </w:r>
    </w:p>
    <w:p w:rsidR="00D74450" w:rsidRDefault="00C6714A" w:rsidP="00D61CB2">
      <w:pPr>
        <w:pStyle w:val="Listenabsatz"/>
        <w:numPr>
          <w:ilvl w:val="0"/>
          <w:numId w:val="7"/>
        </w:numPr>
        <w:ind w:right="46"/>
      </w:pPr>
      <w:r>
        <w:rPr>
          <w:color w:val="auto"/>
        </w:rPr>
        <w:t>B</w:t>
      </w:r>
      <w:r w:rsidR="00D61CB2" w:rsidRPr="00D61CB2">
        <w:rPr>
          <w:color w:val="auto"/>
        </w:rPr>
        <w:t xml:space="preserve">esonders hervorzuheben sind </w:t>
      </w:r>
      <w:proofErr w:type="spellStart"/>
      <w:r w:rsidR="00D61CB2" w:rsidRPr="00D61CB2">
        <w:rPr>
          <w:color w:val="auto"/>
        </w:rPr>
        <w:t>Mobilitäten</w:t>
      </w:r>
      <w:proofErr w:type="spellEnd"/>
      <w:r w:rsidR="00D61CB2" w:rsidRPr="00D61CB2">
        <w:rPr>
          <w:color w:val="auto"/>
        </w:rPr>
        <w:t xml:space="preserve"> ins außereuropäische Ausland. K</w:t>
      </w:r>
      <w:r w:rsidR="00C84246" w:rsidRPr="00D61CB2">
        <w:rPr>
          <w:color w:val="auto"/>
        </w:rPr>
        <w:t xml:space="preserve">ulturell unterschiedliche </w:t>
      </w:r>
      <w:r w:rsidR="00C579ED" w:rsidRPr="00D61CB2">
        <w:rPr>
          <w:color w:val="auto"/>
        </w:rPr>
        <w:t xml:space="preserve">und fortschrittliche </w:t>
      </w:r>
      <w:r w:rsidR="00C84246" w:rsidRPr="00D61CB2">
        <w:rPr>
          <w:color w:val="auto"/>
        </w:rPr>
        <w:t xml:space="preserve">Herangehensweisen in Lehre, Forschung und Administration zu erkunden und an der Hochschule Koblenz strategisch als Wettbewerbsvorteil zu nutzen. </w:t>
      </w:r>
      <w:r>
        <w:rPr>
          <w:color w:val="auto"/>
        </w:rPr>
        <w:t>Gute</w:t>
      </w:r>
      <w:r w:rsidR="0022357D" w:rsidRPr="00D61CB2">
        <w:rPr>
          <w:color w:val="auto"/>
        </w:rPr>
        <w:t xml:space="preserve"> Beispiele für einen </w:t>
      </w:r>
      <w:r w:rsidR="00780477" w:rsidRPr="00D61CB2">
        <w:rPr>
          <w:color w:val="auto"/>
        </w:rPr>
        <w:t xml:space="preserve">regelmäßigen und </w:t>
      </w:r>
      <w:r w:rsidR="0022357D" w:rsidRPr="00D61CB2">
        <w:rPr>
          <w:color w:val="auto"/>
        </w:rPr>
        <w:t>lebhaften Austa</w:t>
      </w:r>
      <w:r>
        <w:rPr>
          <w:color w:val="auto"/>
        </w:rPr>
        <w:t xml:space="preserve">usch auf </w:t>
      </w:r>
      <w:proofErr w:type="gramStart"/>
      <w:r>
        <w:rPr>
          <w:color w:val="auto"/>
        </w:rPr>
        <w:t xml:space="preserve">Dozentenebene  </w:t>
      </w:r>
      <w:r w:rsidR="0022357D">
        <w:t>bieten</w:t>
      </w:r>
      <w:proofErr w:type="gramEnd"/>
      <w:r w:rsidR="0022357D">
        <w:t xml:space="preserve"> vor allem</w:t>
      </w:r>
      <w:r w:rsidR="00632384">
        <w:t xml:space="preserve"> </w:t>
      </w:r>
      <w:r w:rsidR="0022357D">
        <w:t xml:space="preserve">die </w:t>
      </w:r>
      <w:proofErr w:type="spellStart"/>
      <w:r w:rsidR="0022357D">
        <w:t>Coastal</w:t>
      </w:r>
      <w:proofErr w:type="spellEnd"/>
      <w:r w:rsidR="0022357D">
        <w:t xml:space="preserve"> Carolina University in den USA</w:t>
      </w:r>
      <w:r w:rsidR="001505EF">
        <w:t>,</w:t>
      </w:r>
      <w:r w:rsidR="0022357D">
        <w:t xml:space="preserve"> die Brock University in Kanada</w:t>
      </w:r>
      <w:r w:rsidR="00632384">
        <w:t xml:space="preserve"> sowie die University </w:t>
      </w:r>
      <w:proofErr w:type="spellStart"/>
      <w:r w:rsidR="00632384">
        <w:t>of</w:t>
      </w:r>
      <w:proofErr w:type="spellEnd"/>
      <w:r w:rsidR="00632384">
        <w:t xml:space="preserve"> </w:t>
      </w:r>
      <w:proofErr w:type="spellStart"/>
      <w:r w:rsidR="00632384">
        <w:t>the</w:t>
      </w:r>
      <w:proofErr w:type="spellEnd"/>
      <w:r w:rsidR="00632384">
        <w:t xml:space="preserve"> Sunshine Coast </w:t>
      </w:r>
      <w:r w:rsidR="00970BF5">
        <w:t>in Australien</w:t>
      </w:r>
      <w:r w:rsidR="0022357D">
        <w:t>.</w:t>
      </w:r>
      <w:r w:rsidR="00D74450">
        <w:t xml:space="preserve"> </w:t>
      </w:r>
      <w:r>
        <w:t xml:space="preserve">Auf eine </w:t>
      </w:r>
      <w:proofErr w:type="spellStart"/>
      <w:r>
        <w:t>ausgegelichene</w:t>
      </w:r>
      <w:proofErr w:type="spellEnd"/>
      <w:r>
        <w:t xml:space="preserve"> Balance des Austauschs muss dabei geachtet werden. </w:t>
      </w:r>
      <w:r w:rsidR="00D74450">
        <w:t xml:space="preserve">Diese </w:t>
      </w:r>
      <w:proofErr w:type="spellStart"/>
      <w:r w:rsidR="00D74450">
        <w:t>Dozente</w:t>
      </w:r>
      <w:r>
        <w:t>nmobilitäten</w:t>
      </w:r>
      <w:proofErr w:type="spellEnd"/>
      <w:r>
        <w:t xml:space="preserve"> bereichern</w:t>
      </w:r>
      <w:r w:rsidR="00D74450">
        <w:t xml:space="preserve"> das englischsprachige Fächerspektrum der HS Koblenz. </w:t>
      </w:r>
    </w:p>
    <w:p w:rsidR="003057B5" w:rsidRDefault="00C84246" w:rsidP="002B75EE">
      <w:pPr>
        <w:pStyle w:val="Listenabsatz"/>
        <w:numPr>
          <w:ilvl w:val="0"/>
          <w:numId w:val="3"/>
        </w:numPr>
        <w:ind w:right="46"/>
      </w:pPr>
      <w:r>
        <w:t>Virtuelle Mobilität, bei der Studierende von verschiedenen Partnerhochschulen in „</w:t>
      </w:r>
      <w:proofErr w:type="spellStart"/>
      <w:r>
        <w:t>blended</w:t>
      </w:r>
      <w:proofErr w:type="spellEnd"/>
      <w:r>
        <w:t xml:space="preserve"> </w:t>
      </w:r>
      <w:proofErr w:type="spellStart"/>
      <w:r>
        <w:t>learning</w:t>
      </w:r>
      <w:proofErr w:type="spellEnd"/>
      <w:r>
        <w:t xml:space="preserve">“ Umgebungen direkt miteinander in Austausch treten, ohne wirklich die Heimathochschule zu verlassen. Gemeinsame, länderübergreifende Lehraktivitäten (auch online) werden angestrebt. </w:t>
      </w:r>
    </w:p>
    <w:p w:rsidR="00D74450" w:rsidRDefault="00D74450" w:rsidP="002B75EE">
      <w:pPr>
        <w:pStyle w:val="Listenabsatz"/>
        <w:numPr>
          <w:ilvl w:val="0"/>
          <w:numId w:val="3"/>
        </w:numPr>
        <w:ind w:right="46"/>
      </w:pPr>
      <w:r>
        <w:t xml:space="preserve">Steigerung der Digitalisierung soll außerdem zu einer verstärkten </w:t>
      </w:r>
      <w:proofErr w:type="spellStart"/>
      <w:r>
        <w:t>In</w:t>
      </w:r>
      <w:r w:rsidR="00956A3D">
        <w:t>t</w:t>
      </w:r>
      <w:r>
        <w:t>ernationalisation@home</w:t>
      </w:r>
      <w:proofErr w:type="spellEnd"/>
      <w:r>
        <w:t xml:space="preserve"> führen </w:t>
      </w:r>
    </w:p>
    <w:p w:rsidR="001505EF" w:rsidRDefault="001505EF" w:rsidP="005C6A01">
      <w:pPr>
        <w:pStyle w:val="Listenabsatz"/>
        <w:numPr>
          <w:ilvl w:val="0"/>
          <w:numId w:val="3"/>
        </w:numPr>
        <w:spacing w:after="0" w:line="241" w:lineRule="auto"/>
        <w:ind w:right="46"/>
      </w:pPr>
      <w:r>
        <w:t xml:space="preserve">Vorbereitungen für einen Auslandsaufenthalt durch Sprachkurse, </w:t>
      </w:r>
      <w:r w:rsidR="00C579ED">
        <w:t>Seminare</w:t>
      </w:r>
      <w:r>
        <w:t xml:space="preserve"> zum Thema interkulturelle Kommunikation wie z.B. „Managing Cultural </w:t>
      </w:r>
      <w:proofErr w:type="spellStart"/>
      <w:r>
        <w:t>Diversity</w:t>
      </w:r>
      <w:proofErr w:type="spellEnd"/>
      <w:r>
        <w:t>“ und andere relevante hochschulweite Angebote</w:t>
      </w:r>
      <w:r w:rsidR="00E85220">
        <w:t>. Bei erfolgreicher Teilnahme verschiedener interkultureller Bausteine können Studierenden das „Zertifikat für Interkulturelle Kompetenz“ erhalten</w:t>
      </w:r>
    </w:p>
    <w:p w:rsidR="003057B5" w:rsidRDefault="00C84246" w:rsidP="002B75EE">
      <w:pPr>
        <w:pStyle w:val="Listenabsatz"/>
        <w:numPr>
          <w:ilvl w:val="0"/>
          <w:numId w:val="2"/>
        </w:numPr>
        <w:spacing w:after="0" w:line="241" w:lineRule="auto"/>
        <w:ind w:right="232"/>
        <w:jc w:val="both"/>
      </w:pPr>
      <w:r>
        <w:t xml:space="preserve">Kurzzeitaufenthalte als „Schnupperangebote“ (Summer Schools, Intensive </w:t>
      </w:r>
      <w:proofErr w:type="spellStart"/>
      <w:r>
        <w:t>Programs</w:t>
      </w:r>
      <w:proofErr w:type="spellEnd"/>
      <w:r>
        <w:t xml:space="preserve">), bei denen die Studierenden konkret erleben, dass sie im Ausland Vorlesungen folgen könnten oder ein Praktikum absolvieren können.  </w:t>
      </w:r>
    </w:p>
    <w:p w:rsidR="003057B5" w:rsidRDefault="00C84246">
      <w:pPr>
        <w:ind w:left="720" w:right="46" w:hanging="360"/>
      </w:pPr>
      <w:r>
        <w:rPr>
          <w:noProof/>
        </w:rPr>
        <w:lastRenderedPageBreak/>
        <w:drawing>
          <wp:inline distT="0" distB="0" distL="0" distR="0" wp14:anchorId="472BBC70" wp14:editId="73E8E8D4">
            <wp:extent cx="140208" cy="185928"/>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6"/>
                    <a:stretch>
                      <a:fillRect/>
                    </a:stretch>
                  </pic:blipFill>
                  <pic:spPr>
                    <a:xfrm>
                      <a:off x="0" y="0"/>
                      <a:ext cx="140208" cy="185928"/>
                    </a:xfrm>
                    <a:prstGeom prst="rect">
                      <a:avLst/>
                    </a:prstGeom>
                  </pic:spPr>
                </pic:pic>
              </a:graphicData>
            </a:graphic>
          </wp:inline>
        </w:drawing>
      </w:r>
      <w:r>
        <w:t xml:space="preserve"> Anbahnung von gemeinsamen </w:t>
      </w:r>
      <w:r w:rsidR="00C579ED">
        <w:t xml:space="preserve">(Doppel-) </w:t>
      </w:r>
      <w:r>
        <w:t xml:space="preserve">Abschlüssen, bei denen die Curricula zwischen den Partnerhochschulen synchronisiert werden müssen, </w:t>
      </w:r>
      <w:r w:rsidR="00C579ED">
        <w:t xml:space="preserve">sollen </w:t>
      </w:r>
      <w:r>
        <w:t xml:space="preserve">als Motor zur Modernisierung des Lehrbetriebs genutzt werden. </w:t>
      </w:r>
    </w:p>
    <w:p w:rsidR="003057B5" w:rsidRDefault="00C84246">
      <w:pPr>
        <w:spacing w:after="0" w:line="259" w:lineRule="auto"/>
        <w:ind w:left="0" w:firstLine="0"/>
      </w:pPr>
      <w:r>
        <w:t xml:space="preserve"> </w:t>
      </w:r>
    </w:p>
    <w:p w:rsidR="003057B5" w:rsidRDefault="00C84246">
      <w:pPr>
        <w:ind w:left="-5" w:right="46"/>
      </w:pPr>
      <w:r>
        <w:t xml:space="preserve">Die Teilnahme am ERASMUS-Programm ermöglicht </w:t>
      </w:r>
      <w:r w:rsidR="00C579ED">
        <w:t>durch</w:t>
      </w:r>
      <w:r>
        <w:t xml:space="preserve"> Personalmobilität auch die Auseinandersetzung mit den Strukturen von Partnerhochschulen hinsichtlich der Vernetzung von Forschung und Wirtschaft mit ihrer jeweiligen Region, der Umsetzung der Exzellenzförderung sowie den Strukturen der Steuerung und Finanzierung der Tätigkeitsfelder der Hochschule (</w:t>
      </w:r>
      <w:proofErr w:type="spellStart"/>
      <w:r>
        <w:t>Governance</w:t>
      </w:r>
      <w:proofErr w:type="spellEnd"/>
      <w:r>
        <w:t xml:space="preserve">). </w:t>
      </w:r>
    </w:p>
    <w:p w:rsidR="003057B5" w:rsidRDefault="00C84246">
      <w:pPr>
        <w:spacing w:after="0" w:line="259" w:lineRule="auto"/>
        <w:ind w:left="0" w:firstLine="0"/>
      </w:pPr>
      <w:r>
        <w:t xml:space="preserve"> </w:t>
      </w:r>
    </w:p>
    <w:p w:rsidR="003057B5" w:rsidRDefault="00C84246">
      <w:pPr>
        <w:spacing w:after="0" w:line="259" w:lineRule="auto"/>
        <w:ind w:left="0" w:firstLine="0"/>
      </w:pPr>
      <w:r>
        <w:t xml:space="preserve"> </w:t>
      </w:r>
    </w:p>
    <w:p w:rsidR="003057B5" w:rsidRDefault="00C84246">
      <w:pPr>
        <w:ind w:left="-5" w:right="46"/>
      </w:pPr>
      <w:r>
        <w:t>(</w:t>
      </w:r>
      <w:r w:rsidR="00D22F17">
        <w:t>Januar</w:t>
      </w:r>
      <w:r w:rsidR="00DC26A4">
        <w:t xml:space="preserve"> </w:t>
      </w:r>
      <w:r>
        <w:t>201</w:t>
      </w:r>
      <w:r w:rsidR="00D22F17">
        <w:t>9</w:t>
      </w:r>
      <w:r>
        <w:t xml:space="preserve">) </w:t>
      </w:r>
    </w:p>
    <w:p w:rsidR="007455EE" w:rsidRDefault="007455EE">
      <w:pPr>
        <w:ind w:left="-5" w:right="46"/>
      </w:pPr>
    </w:p>
    <w:p w:rsidR="007455EE" w:rsidRDefault="007455EE">
      <w:pPr>
        <w:ind w:left="-5" w:right="46"/>
      </w:pPr>
    </w:p>
    <w:sectPr w:rsidR="007455EE">
      <w:pgSz w:w="11904" w:h="16838"/>
      <w:pgMar w:top="1021" w:right="1362" w:bottom="119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2.25pt;visibility:visible;mso-wrap-style:square" o:bullet="t">
        <v:imagedata r:id="rId1" o:title=""/>
      </v:shape>
    </w:pict>
  </w:numPicBullet>
  <w:abstractNum w:abstractNumId="0" w15:restartNumberingAfterBreak="0">
    <w:nsid w:val="16C81C24"/>
    <w:multiLevelType w:val="hybridMultilevel"/>
    <w:tmpl w:val="9B548C6C"/>
    <w:lvl w:ilvl="0" w:tplc="B6BCF942">
      <w:start w:val="1"/>
      <w:numFmt w:val="bullet"/>
      <w:lvlText w:val=""/>
      <w:lvlPicBulletId w:val="0"/>
      <w:lvlJc w:val="left"/>
      <w:pPr>
        <w:tabs>
          <w:tab w:val="num" w:pos="720"/>
        </w:tabs>
        <w:ind w:left="720" w:hanging="360"/>
      </w:pPr>
      <w:rPr>
        <w:rFonts w:ascii="Symbol" w:hAnsi="Symbol" w:hint="default"/>
      </w:rPr>
    </w:lvl>
    <w:lvl w:ilvl="1" w:tplc="EE001222" w:tentative="1">
      <w:start w:val="1"/>
      <w:numFmt w:val="bullet"/>
      <w:lvlText w:val=""/>
      <w:lvlJc w:val="left"/>
      <w:pPr>
        <w:tabs>
          <w:tab w:val="num" w:pos="1440"/>
        </w:tabs>
        <w:ind w:left="1440" w:hanging="360"/>
      </w:pPr>
      <w:rPr>
        <w:rFonts w:ascii="Symbol" w:hAnsi="Symbol" w:hint="default"/>
      </w:rPr>
    </w:lvl>
    <w:lvl w:ilvl="2" w:tplc="E020D052" w:tentative="1">
      <w:start w:val="1"/>
      <w:numFmt w:val="bullet"/>
      <w:lvlText w:val=""/>
      <w:lvlJc w:val="left"/>
      <w:pPr>
        <w:tabs>
          <w:tab w:val="num" w:pos="2160"/>
        </w:tabs>
        <w:ind w:left="2160" w:hanging="360"/>
      </w:pPr>
      <w:rPr>
        <w:rFonts w:ascii="Symbol" w:hAnsi="Symbol" w:hint="default"/>
      </w:rPr>
    </w:lvl>
    <w:lvl w:ilvl="3" w:tplc="6BC272EA" w:tentative="1">
      <w:start w:val="1"/>
      <w:numFmt w:val="bullet"/>
      <w:lvlText w:val=""/>
      <w:lvlJc w:val="left"/>
      <w:pPr>
        <w:tabs>
          <w:tab w:val="num" w:pos="2880"/>
        </w:tabs>
        <w:ind w:left="2880" w:hanging="360"/>
      </w:pPr>
      <w:rPr>
        <w:rFonts w:ascii="Symbol" w:hAnsi="Symbol" w:hint="default"/>
      </w:rPr>
    </w:lvl>
    <w:lvl w:ilvl="4" w:tplc="1F8465FA" w:tentative="1">
      <w:start w:val="1"/>
      <w:numFmt w:val="bullet"/>
      <w:lvlText w:val=""/>
      <w:lvlJc w:val="left"/>
      <w:pPr>
        <w:tabs>
          <w:tab w:val="num" w:pos="3600"/>
        </w:tabs>
        <w:ind w:left="3600" w:hanging="360"/>
      </w:pPr>
      <w:rPr>
        <w:rFonts w:ascii="Symbol" w:hAnsi="Symbol" w:hint="default"/>
      </w:rPr>
    </w:lvl>
    <w:lvl w:ilvl="5" w:tplc="BF12AB6C" w:tentative="1">
      <w:start w:val="1"/>
      <w:numFmt w:val="bullet"/>
      <w:lvlText w:val=""/>
      <w:lvlJc w:val="left"/>
      <w:pPr>
        <w:tabs>
          <w:tab w:val="num" w:pos="4320"/>
        </w:tabs>
        <w:ind w:left="4320" w:hanging="360"/>
      </w:pPr>
      <w:rPr>
        <w:rFonts w:ascii="Symbol" w:hAnsi="Symbol" w:hint="default"/>
      </w:rPr>
    </w:lvl>
    <w:lvl w:ilvl="6" w:tplc="BA8641C2" w:tentative="1">
      <w:start w:val="1"/>
      <w:numFmt w:val="bullet"/>
      <w:lvlText w:val=""/>
      <w:lvlJc w:val="left"/>
      <w:pPr>
        <w:tabs>
          <w:tab w:val="num" w:pos="5040"/>
        </w:tabs>
        <w:ind w:left="5040" w:hanging="360"/>
      </w:pPr>
      <w:rPr>
        <w:rFonts w:ascii="Symbol" w:hAnsi="Symbol" w:hint="default"/>
      </w:rPr>
    </w:lvl>
    <w:lvl w:ilvl="7" w:tplc="12ACABB6" w:tentative="1">
      <w:start w:val="1"/>
      <w:numFmt w:val="bullet"/>
      <w:lvlText w:val=""/>
      <w:lvlJc w:val="left"/>
      <w:pPr>
        <w:tabs>
          <w:tab w:val="num" w:pos="5760"/>
        </w:tabs>
        <w:ind w:left="5760" w:hanging="360"/>
      </w:pPr>
      <w:rPr>
        <w:rFonts w:ascii="Symbol" w:hAnsi="Symbol" w:hint="default"/>
      </w:rPr>
    </w:lvl>
    <w:lvl w:ilvl="8" w:tplc="DB18C7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EA524F"/>
    <w:multiLevelType w:val="hybridMultilevel"/>
    <w:tmpl w:val="F4F05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806DE9"/>
    <w:multiLevelType w:val="hybridMultilevel"/>
    <w:tmpl w:val="459AB8EC"/>
    <w:lvl w:ilvl="0" w:tplc="D1648DB0">
      <w:start w:val="3"/>
      <w:numFmt w:val="bullet"/>
      <w:lvlText w:val="-"/>
      <w:lvlJc w:val="left"/>
      <w:pPr>
        <w:ind w:left="1081" w:hanging="360"/>
      </w:pPr>
      <w:rPr>
        <w:rFonts w:ascii="Arial" w:eastAsia="Arial" w:hAnsi="Arial" w:cs="Arial" w:hint="default"/>
      </w:rPr>
    </w:lvl>
    <w:lvl w:ilvl="1" w:tplc="04070003" w:tentative="1">
      <w:start w:val="1"/>
      <w:numFmt w:val="bullet"/>
      <w:lvlText w:val="o"/>
      <w:lvlJc w:val="left"/>
      <w:pPr>
        <w:ind w:left="1801" w:hanging="360"/>
      </w:pPr>
      <w:rPr>
        <w:rFonts w:ascii="Courier New" w:hAnsi="Courier New" w:cs="Courier New" w:hint="default"/>
      </w:rPr>
    </w:lvl>
    <w:lvl w:ilvl="2" w:tplc="04070005" w:tentative="1">
      <w:start w:val="1"/>
      <w:numFmt w:val="bullet"/>
      <w:lvlText w:val=""/>
      <w:lvlJc w:val="left"/>
      <w:pPr>
        <w:ind w:left="2521" w:hanging="360"/>
      </w:pPr>
      <w:rPr>
        <w:rFonts w:ascii="Wingdings" w:hAnsi="Wingdings" w:hint="default"/>
      </w:rPr>
    </w:lvl>
    <w:lvl w:ilvl="3" w:tplc="04070001" w:tentative="1">
      <w:start w:val="1"/>
      <w:numFmt w:val="bullet"/>
      <w:lvlText w:val=""/>
      <w:lvlJc w:val="left"/>
      <w:pPr>
        <w:ind w:left="3241" w:hanging="360"/>
      </w:pPr>
      <w:rPr>
        <w:rFonts w:ascii="Symbol" w:hAnsi="Symbol" w:hint="default"/>
      </w:rPr>
    </w:lvl>
    <w:lvl w:ilvl="4" w:tplc="04070003" w:tentative="1">
      <w:start w:val="1"/>
      <w:numFmt w:val="bullet"/>
      <w:lvlText w:val="o"/>
      <w:lvlJc w:val="left"/>
      <w:pPr>
        <w:ind w:left="3961" w:hanging="360"/>
      </w:pPr>
      <w:rPr>
        <w:rFonts w:ascii="Courier New" w:hAnsi="Courier New" w:cs="Courier New" w:hint="default"/>
      </w:rPr>
    </w:lvl>
    <w:lvl w:ilvl="5" w:tplc="04070005" w:tentative="1">
      <w:start w:val="1"/>
      <w:numFmt w:val="bullet"/>
      <w:lvlText w:val=""/>
      <w:lvlJc w:val="left"/>
      <w:pPr>
        <w:ind w:left="4681" w:hanging="360"/>
      </w:pPr>
      <w:rPr>
        <w:rFonts w:ascii="Wingdings" w:hAnsi="Wingdings" w:hint="default"/>
      </w:rPr>
    </w:lvl>
    <w:lvl w:ilvl="6" w:tplc="04070001" w:tentative="1">
      <w:start w:val="1"/>
      <w:numFmt w:val="bullet"/>
      <w:lvlText w:val=""/>
      <w:lvlJc w:val="left"/>
      <w:pPr>
        <w:ind w:left="5401" w:hanging="360"/>
      </w:pPr>
      <w:rPr>
        <w:rFonts w:ascii="Symbol" w:hAnsi="Symbol" w:hint="default"/>
      </w:rPr>
    </w:lvl>
    <w:lvl w:ilvl="7" w:tplc="04070003" w:tentative="1">
      <w:start w:val="1"/>
      <w:numFmt w:val="bullet"/>
      <w:lvlText w:val="o"/>
      <w:lvlJc w:val="left"/>
      <w:pPr>
        <w:ind w:left="6121" w:hanging="360"/>
      </w:pPr>
      <w:rPr>
        <w:rFonts w:ascii="Courier New" w:hAnsi="Courier New" w:cs="Courier New" w:hint="default"/>
      </w:rPr>
    </w:lvl>
    <w:lvl w:ilvl="8" w:tplc="04070005" w:tentative="1">
      <w:start w:val="1"/>
      <w:numFmt w:val="bullet"/>
      <w:lvlText w:val=""/>
      <w:lvlJc w:val="left"/>
      <w:pPr>
        <w:ind w:left="6841" w:hanging="360"/>
      </w:pPr>
      <w:rPr>
        <w:rFonts w:ascii="Wingdings" w:hAnsi="Wingdings" w:hint="default"/>
      </w:rPr>
    </w:lvl>
  </w:abstractNum>
  <w:abstractNum w:abstractNumId="3" w15:restartNumberingAfterBreak="0">
    <w:nsid w:val="4B2755D4"/>
    <w:multiLevelType w:val="hybridMultilevel"/>
    <w:tmpl w:val="D3308A84"/>
    <w:lvl w:ilvl="0" w:tplc="7FC08984">
      <w:start w:val="1"/>
      <w:numFmt w:val="bullet"/>
      <w:lvlText w:val=""/>
      <w:lvlPicBulletId w:val="0"/>
      <w:lvlJc w:val="left"/>
      <w:pPr>
        <w:tabs>
          <w:tab w:val="num" w:pos="720"/>
        </w:tabs>
        <w:ind w:left="720" w:hanging="360"/>
      </w:pPr>
      <w:rPr>
        <w:rFonts w:ascii="Symbol" w:hAnsi="Symbol" w:hint="default"/>
      </w:rPr>
    </w:lvl>
    <w:lvl w:ilvl="1" w:tplc="05EEDF28" w:tentative="1">
      <w:start w:val="1"/>
      <w:numFmt w:val="bullet"/>
      <w:lvlText w:val=""/>
      <w:lvlJc w:val="left"/>
      <w:pPr>
        <w:tabs>
          <w:tab w:val="num" w:pos="1440"/>
        </w:tabs>
        <w:ind w:left="1440" w:hanging="360"/>
      </w:pPr>
      <w:rPr>
        <w:rFonts w:ascii="Symbol" w:hAnsi="Symbol" w:hint="default"/>
      </w:rPr>
    </w:lvl>
    <w:lvl w:ilvl="2" w:tplc="93187A9C" w:tentative="1">
      <w:start w:val="1"/>
      <w:numFmt w:val="bullet"/>
      <w:lvlText w:val=""/>
      <w:lvlJc w:val="left"/>
      <w:pPr>
        <w:tabs>
          <w:tab w:val="num" w:pos="2160"/>
        </w:tabs>
        <w:ind w:left="2160" w:hanging="360"/>
      </w:pPr>
      <w:rPr>
        <w:rFonts w:ascii="Symbol" w:hAnsi="Symbol" w:hint="default"/>
      </w:rPr>
    </w:lvl>
    <w:lvl w:ilvl="3" w:tplc="2668B3C8" w:tentative="1">
      <w:start w:val="1"/>
      <w:numFmt w:val="bullet"/>
      <w:lvlText w:val=""/>
      <w:lvlJc w:val="left"/>
      <w:pPr>
        <w:tabs>
          <w:tab w:val="num" w:pos="2880"/>
        </w:tabs>
        <w:ind w:left="2880" w:hanging="360"/>
      </w:pPr>
      <w:rPr>
        <w:rFonts w:ascii="Symbol" w:hAnsi="Symbol" w:hint="default"/>
      </w:rPr>
    </w:lvl>
    <w:lvl w:ilvl="4" w:tplc="7174E618" w:tentative="1">
      <w:start w:val="1"/>
      <w:numFmt w:val="bullet"/>
      <w:lvlText w:val=""/>
      <w:lvlJc w:val="left"/>
      <w:pPr>
        <w:tabs>
          <w:tab w:val="num" w:pos="3600"/>
        </w:tabs>
        <w:ind w:left="3600" w:hanging="360"/>
      </w:pPr>
      <w:rPr>
        <w:rFonts w:ascii="Symbol" w:hAnsi="Symbol" w:hint="default"/>
      </w:rPr>
    </w:lvl>
    <w:lvl w:ilvl="5" w:tplc="DF22AD10" w:tentative="1">
      <w:start w:val="1"/>
      <w:numFmt w:val="bullet"/>
      <w:lvlText w:val=""/>
      <w:lvlJc w:val="left"/>
      <w:pPr>
        <w:tabs>
          <w:tab w:val="num" w:pos="4320"/>
        </w:tabs>
        <w:ind w:left="4320" w:hanging="360"/>
      </w:pPr>
      <w:rPr>
        <w:rFonts w:ascii="Symbol" w:hAnsi="Symbol" w:hint="default"/>
      </w:rPr>
    </w:lvl>
    <w:lvl w:ilvl="6" w:tplc="EDCAFDCC" w:tentative="1">
      <w:start w:val="1"/>
      <w:numFmt w:val="bullet"/>
      <w:lvlText w:val=""/>
      <w:lvlJc w:val="left"/>
      <w:pPr>
        <w:tabs>
          <w:tab w:val="num" w:pos="5040"/>
        </w:tabs>
        <w:ind w:left="5040" w:hanging="360"/>
      </w:pPr>
      <w:rPr>
        <w:rFonts w:ascii="Symbol" w:hAnsi="Symbol" w:hint="default"/>
      </w:rPr>
    </w:lvl>
    <w:lvl w:ilvl="7" w:tplc="2F58C490" w:tentative="1">
      <w:start w:val="1"/>
      <w:numFmt w:val="bullet"/>
      <w:lvlText w:val=""/>
      <w:lvlJc w:val="left"/>
      <w:pPr>
        <w:tabs>
          <w:tab w:val="num" w:pos="5760"/>
        </w:tabs>
        <w:ind w:left="5760" w:hanging="360"/>
      </w:pPr>
      <w:rPr>
        <w:rFonts w:ascii="Symbol" w:hAnsi="Symbol" w:hint="default"/>
      </w:rPr>
    </w:lvl>
    <w:lvl w:ilvl="8" w:tplc="5C0A7E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00203F"/>
    <w:multiLevelType w:val="hybridMultilevel"/>
    <w:tmpl w:val="A5206CF0"/>
    <w:lvl w:ilvl="0" w:tplc="C706D17C">
      <w:start w:val="1"/>
      <w:numFmt w:val="bullet"/>
      <w:lvlText w:val=""/>
      <w:lvlPicBulletId w:val="0"/>
      <w:lvlJc w:val="left"/>
      <w:pPr>
        <w:tabs>
          <w:tab w:val="num" w:pos="720"/>
        </w:tabs>
        <w:ind w:left="720" w:hanging="360"/>
      </w:pPr>
      <w:rPr>
        <w:rFonts w:ascii="Symbol" w:hAnsi="Symbol" w:hint="default"/>
      </w:rPr>
    </w:lvl>
    <w:lvl w:ilvl="1" w:tplc="29D64006" w:tentative="1">
      <w:start w:val="1"/>
      <w:numFmt w:val="bullet"/>
      <w:lvlText w:val=""/>
      <w:lvlJc w:val="left"/>
      <w:pPr>
        <w:tabs>
          <w:tab w:val="num" w:pos="1440"/>
        </w:tabs>
        <w:ind w:left="1440" w:hanging="360"/>
      </w:pPr>
      <w:rPr>
        <w:rFonts w:ascii="Symbol" w:hAnsi="Symbol" w:hint="default"/>
      </w:rPr>
    </w:lvl>
    <w:lvl w:ilvl="2" w:tplc="A8CE527A" w:tentative="1">
      <w:start w:val="1"/>
      <w:numFmt w:val="bullet"/>
      <w:lvlText w:val=""/>
      <w:lvlJc w:val="left"/>
      <w:pPr>
        <w:tabs>
          <w:tab w:val="num" w:pos="2160"/>
        </w:tabs>
        <w:ind w:left="2160" w:hanging="360"/>
      </w:pPr>
      <w:rPr>
        <w:rFonts w:ascii="Symbol" w:hAnsi="Symbol" w:hint="default"/>
      </w:rPr>
    </w:lvl>
    <w:lvl w:ilvl="3" w:tplc="71683E24" w:tentative="1">
      <w:start w:val="1"/>
      <w:numFmt w:val="bullet"/>
      <w:lvlText w:val=""/>
      <w:lvlJc w:val="left"/>
      <w:pPr>
        <w:tabs>
          <w:tab w:val="num" w:pos="2880"/>
        </w:tabs>
        <w:ind w:left="2880" w:hanging="360"/>
      </w:pPr>
      <w:rPr>
        <w:rFonts w:ascii="Symbol" w:hAnsi="Symbol" w:hint="default"/>
      </w:rPr>
    </w:lvl>
    <w:lvl w:ilvl="4" w:tplc="5BC06E30" w:tentative="1">
      <w:start w:val="1"/>
      <w:numFmt w:val="bullet"/>
      <w:lvlText w:val=""/>
      <w:lvlJc w:val="left"/>
      <w:pPr>
        <w:tabs>
          <w:tab w:val="num" w:pos="3600"/>
        </w:tabs>
        <w:ind w:left="3600" w:hanging="360"/>
      </w:pPr>
      <w:rPr>
        <w:rFonts w:ascii="Symbol" w:hAnsi="Symbol" w:hint="default"/>
      </w:rPr>
    </w:lvl>
    <w:lvl w:ilvl="5" w:tplc="C46E6416" w:tentative="1">
      <w:start w:val="1"/>
      <w:numFmt w:val="bullet"/>
      <w:lvlText w:val=""/>
      <w:lvlJc w:val="left"/>
      <w:pPr>
        <w:tabs>
          <w:tab w:val="num" w:pos="4320"/>
        </w:tabs>
        <w:ind w:left="4320" w:hanging="360"/>
      </w:pPr>
      <w:rPr>
        <w:rFonts w:ascii="Symbol" w:hAnsi="Symbol" w:hint="default"/>
      </w:rPr>
    </w:lvl>
    <w:lvl w:ilvl="6" w:tplc="1CA4FEE8" w:tentative="1">
      <w:start w:val="1"/>
      <w:numFmt w:val="bullet"/>
      <w:lvlText w:val=""/>
      <w:lvlJc w:val="left"/>
      <w:pPr>
        <w:tabs>
          <w:tab w:val="num" w:pos="5040"/>
        </w:tabs>
        <w:ind w:left="5040" w:hanging="360"/>
      </w:pPr>
      <w:rPr>
        <w:rFonts w:ascii="Symbol" w:hAnsi="Symbol" w:hint="default"/>
      </w:rPr>
    </w:lvl>
    <w:lvl w:ilvl="7" w:tplc="D37AADD8" w:tentative="1">
      <w:start w:val="1"/>
      <w:numFmt w:val="bullet"/>
      <w:lvlText w:val=""/>
      <w:lvlJc w:val="left"/>
      <w:pPr>
        <w:tabs>
          <w:tab w:val="num" w:pos="5760"/>
        </w:tabs>
        <w:ind w:left="5760" w:hanging="360"/>
      </w:pPr>
      <w:rPr>
        <w:rFonts w:ascii="Symbol" w:hAnsi="Symbol" w:hint="default"/>
      </w:rPr>
    </w:lvl>
    <w:lvl w:ilvl="8" w:tplc="E0FA67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8244919"/>
    <w:multiLevelType w:val="hybridMultilevel"/>
    <w:tmpl w:val="2CAC494E"/>
    <w:lvl w:ilvl="0" w:tplc="04070001">
      <w:start w:val="1"/>
      <w:numFmt w:val="bullet"/>
      <w:lvlText w:val=""/>
      <w:lvlJc w:val="left"/>
      <w:pPr>
        <w:ind w:left="1441" w:hanging="360"/>
      </w:pPr>
      <w:rPr>
        <w:rFonts w:ascii="Symbol" w:hAnsi="Symbol" w:hint="default"/>
      </w:rPr>
    </w:lvl>
    <w:lvl w:ilvl="1" w:tplc="04070003" w:tentative="1">
      <w:start w:val="1"/>
      <w:numFmt w:val="bullet"/>
      <w:lvlText w:val="o"/>
      <w:lvlJc w:val="left"/>
      <w:pPr>
        <w:ind w:left="2161" w:hanging="360"/>
      </w:pPr>
      <w:rPr>
        <w:rFonts w:ascii="Courier New" w:hAnsi="Courier New" w:cs="Courier New" w:hint="default"/>
      </w:rPr>
    </w:lvl>
    <w:lvl w:ilvl="2" w:tplc="04070005" w:tentative="1">
      <w:start w:val="1"/>
      <w:numFmt w:val="bullet"/>
      <w:lvlText w:val=""/>
      <w:lvlJc w:val="left"/>
      <w:pPr>
        <w:ind w:left="2881" w:hanging="360"/>
      </w:pPr>
      <w:rPr>
        <w:rFonts w:ascii="Wingdings" w:hAnsi="Wingdings" w:hint="default"/>
      </w:rPr>
    </w:lvl>
    <w:lvl w:ilvl="3" w:tplc="04070001" w:tentative="1">
      <w:start w:val="1"/>
      <w:numFmt w:val="bullet"/>
      <w:lvlText w:val=""/>
      <w:lvlJc w:val="left"/>
      <w:pPr>
        <w:ind w:left="3601" w:hanging="360"/>
      </w:pPr>
      <w:rPr>
        <w:rFonts w:ascii="Symbol" w:hAnsi="Symbol" w:hint="default"/>
      </w:rPr>
    </w:lvl>
    <w:lvl w:ilvl="4" w:tplc="04070003" w:tentative="1">
      <w:start w:val="1"/>
      <w:numFmt w:val="bullet"/>
      <w:lvlText w:val="o"/>
      <w:lvlJc w:val="left"/>
      <w:pPr>
        <w:ind w:left="4321" w:hanging="360"/>
      </w:pPr>
      <w:rPr>
        <w:rFonts w:ascii="Courier New" w:hAnsi="Courier New" w:cs="Courier New" w:hint="default"/>
      </w:rPr>
    </w:lvl>
    <w:lvl w:ilvl="5" w:tplc="04070005" w:tentative="1">
      <w:start w:val="1"/>
      <w:numFmt w:val="bullet"/>
      <w:lvlText w:val=""/>
      <w:lvlJc w:val="left"/>
      <w:pPr>
        <w:ind w:left="5041" w:hanging="360"/>
      </w:pPr>
      <w:rPr>
        <w:rFonts w:ascii="Wingdings" w:hAnsi="Wingdings" w:hint="default"/>
      </w:rPr>
    </w:lvl>
    <w:lvl w:ilvl="6" w:tplc="04070001" w:tentative="1">
      <w:start w:val="1"/>
      <w:numFmt w:val="bullet"/>
      <w:lvlText w:val=""/>
      <w:lvlJc w:val="left"/>
      <w:pPr>
        <w:ind w:left="5761" w:hanging="360"/>
      </w:pPr>
      <w:rPr>
        <w:rFonts w:ascii="Symbol" w:hAnsi="Symbol" w:hint="default"/>
      </w:rPr>
    </w:lvl>
    <w:lvl w:ilvl="7" w:tplc="04070003" w:tentative="1">
      <w:start w:val="1"/>
      <w:numFmt w:val="bullet"/>
      <w:lvlText w:val="o"/>
      <w:lvlJc w:val="left"/>
      <w:pPr>
        <w:ind w:left="6481" w:hanging="360"/>
      </w:pPr>
      <w:rPr>
        <w:rFonts w:ascii="Courier New" w:hAnsi="Courier New" w:cs="Courier New" w:hint="default"/>
      </w:rPr>
    </w:lvl>
    <w:lvl w:ilvl="8" w:tplc="04070005" w:tentative="1">
      <w:start w:val="1"/>
      <w:numFmt w:val="bullet"/>
      <w:lvlText w:val=""/>
      <w:lvlJc w:val="left"/>
      <w:pPr>
        <w:ind w:left="7201" w:hanging="360"/>
      </w:pPr>
      <w:rPr>
        <w:rFonts w:ascii="Wingdings" w:hAnsi="Wingdings" w:hint="default"/>
      </w:rPr>
    </w:lvl>
  </w:abstractNum>
  <w:abstractNum w:abstractNumId="6" w15:restartNumberingAfterBreak="0">
    <w:nsid w:val="78FF1D23"/>
    <w:multiLevelType w:val="hybridMultilevel"/>
    <w:tmpl w:val="1CC2BCCA"/>
    <w:lvl w:ilvl="0" w:tplc="0114978C">
      <w:start w:val="1"/>
      <w:numFmt w:val="lowerLetter"/>
      <w:lvlText w:val="(%1)"/>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565A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8EA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E9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282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78CA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604A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727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7A9C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B5"/>
    <w:rsid w:val="00016B28"/>
    <w:rsid w:val="0002095D"/>
    <w:rsid w:val="00051862"/>
    <w:rsid w:val="00054D8D"/>
    <w:rsid w:val="00111149"/>
    <w:rsid w:val="001275C9"/>
    <w:rsid w:val="001505EF"/>
    <w:rsid w:val="001D1E0F"/>
    <w:rsid w:val="002122AB"/>
    <w:rsid w:val="0022357D"/>
    <w:rsid w:val="002960CF"/>
    <w:rsid w:val="002B75EE"/>
    <w:rsid w:val="003057B5"/>
    <w:rsid w:val="003635DB"/>
    <w:rsid w:val="00396D85"/>
    <w:rsid w:val="003A7796"/>
    <w:rsid w:val="00412206"/>
    <w:rsid w:val="00420B14"/>
    <w:rsid w:val="004A34CC"/>
    <w:rsid w:val="004D1B33"/>
    <w:rsid w:val="004D7B15"/>
    <w:rsid w:val="00593C41"/>
    <w:rsid w:val="00593FAC"/>
    <w:rsid w:val="005C0E74"/>
    <w:rsid w:val="005C6A01"/>
    <w:rsid w:val="0062160D"/>
    <w:rsid w:val="00624726"/>
    <w:rsid w:val="00632384"/>
    <w:rsid w:val="007010F0"/>
    <w:rsid w:val="00704BF1"/>
    <w:rsid w:val="007455EE"/>
    <w:rsid w:val="007648D7"/>
    <w:rsid w:val="00766DD3"/>
    <w:rsid w:val="00780477"/>
    <w:rsid w:val="0078633E"/>
    <w:rsid w:val="00801615"/>
    <w:rsid w:val="00861AED"/>
    <w:rsid w:val="008A357C"/>
    <w:rsid w:val="008B02AE"/>
    <w:rsid w:val="00913CCF"/>
    <w:rsid w:val="00935A89"/>
    <w:rsid w:val="00956A3D"/>
    <w:rsid w:val="00970BF5"/>
    <w:rsid w:val="009C20F9"/>
    <w:rsid w:val="009E1228"/>
    <w:rsid w:val="00A50AEC"/>
    <w:rsid w:val="00B00B27"/>
    <w:rsid w:val="00B01A35"/>
    <w:rsid w:val="00B1209F"/>
    <w:rsid w:val="00B16847"/>
    <w:rsid w:val="00B64372"/>
    <w:rsid w:val="00B80559"/>
    <w:rsid w:val="00C579ED"/>
    <w:rsid w:val="00C6714A"/>
    <w:rsid w:val="00C72883"/>
    <w:rsid w:val="00C82BB5"/>
    <w:rsid w:val="00C84246"/>
    <w:rsid w:val="00C93444"/>
    <w:rsid w:val="00CB116D"/>
    <w:rsid w:val="00CF64EC"/>
    <w:rsid w:val="00D22F17"/>
    <w:rsid w:val="00D61CB2"/>
    <w:rsid w:val="00D74450"/>
    <w:rsid w:val="00D907DE"/>
    <w:rsid w:val="00DC26A4"/>
    <w:rsid w:val="00E85220"/>
    <w:rsid w:val="00EA4EDC"/>
    <w:rsid w:val="00EB3517"/>
    <w:rsid w:val="00EF5B6A"/>
    <w:rsid w:val="00F45395"/>
    <w:rsid w:val="00F77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8D8C2"/>
  <w15:docId w15:val="{2DD48881-4517-4F67-89DC-EB208685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 w:line="249"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paragraph" w:styleId="Sprechblasentext">
    <w:name w:val="Balloon Text"/>
    <w:basedOn w:val="Standard"/>
    <w:link w:val="SprechblasentextZchn"/>
    <w:uiPriority w:val="99"/>
    <w:semiHidden/>
    <w:unhideWhenUsed/>
    <w:rsid w:val="00D907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07DE"/>
    <w:rPr>
      <w:rFonts w:ascii="Segoe UI" w:eastAsia="Arial" w:hAnsi="Segoe UI" w:cs="Segoe UI"/>
      <w:color w:val="000000"/>
      <w:sz w:val="18"/>
      <w:szCs w:val="18"/>
    </w:rPr>
  </w:style>
  <w:style w:type="paragraph" w:styleId="Listenabsatz">
    <w:name w:val="List Paragraph"/>
    <w:basedOn w:val="Standard"/>
    <w:uiPriority w:val="34"/>
    <w:qFormat/>
    <w:rsid w:val="001505EF"/>
    <w:pPr>
      <w:ind w:left="720"/>
      <w:contextualSpacing/>
    </w:pPr>
  </w:style>
  <w:style w:type="character" w:styleId="Kommentarzeichen">
    <w:name w:val="annotation reference"/>
    <w:basedOn w:val="Absatz-Standardschriftart"/>
    <w:uiPriority w:val="99"/>
    <w:semiHidden/>
    <w:unhideWhenUsed/>
    <w:rsid w:val="00B00B27"/>
    <w:rPr>
      <w:sz w:val="16"/>
      <w:szCs w:val="16"/>
    </w:rPr>
  </w:style>
  <w:style w:type="paragraph" w:styleId="Kommentartext">
    <w:name w:val="annotation text"/>
    <w:basedOn w:val="Standard"/>
    <w:link w:val="KommentartextZchn"/>
    <w:uiPriority w:val="99"/>
    <w:unhideWhenUsed/>
    <w:rsid w:val="00B00B27"/>
    <w:pPr>
      <w:spacing w:line="240" w:lineRule="auto"/>
    </w:pPr>
    <w:rPr>
      <w:sz w:val="20"/>
      <w:szCs w:val="20"/>
    </w:rPr>
  </w:style>
  <w:style w:type="character" w:customStyle="1" w:styleId="KommentartextZchn">
    <w:name w:val="Kommentartext Zchn"/>
    <w:basedOn w:val="Absatz-Standardschriftart"/>
    <w:link w:val="Kommentartext"/>
    <w:uiPriority w:val="99"/>
    <w:rsid w:val="00B00B27"/>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B00B27"/>
    <w:rPr>
      <w:b/>
      <w:bCs/>
    </w:rPr>
  </w:style>
  <w:style w:type="character" w:customStyle="1" w:styleId="KommentarthemaZchn">
    <w:name w:val="Kommentarthema Zchn"/>
    <w:basedOn w:val="KommentartextZchn"/>
    <w:link w:val="Kommentarthema"/>
    <w:uiPriority w:val="99"/>
    <w:semiHidden/>
    <w:rsid w:val="00B00B27"/>
    <w:rPr>
      <w:rFonts w:ascii="Arial" w:eastAsia="Arial" w:hAnsi="Arial" w:cs="Arial"/>
      <w:b/>
      <w:bCs/>
      <w:color w:val="000000"/>
      <w:sz w:val="20"/>
      <w:szCs w:val="20"/>
    </w:rPr>
  </w:style>
  <w:style w:type="paragraph" w:styleId="berarbeitung">
    <w:name w:val="Revision"/>
    <w:hidden/>
    <w:uiPriority w:val="99"/>
    <w:semiHidden/>
    <w:rsid w:val="001275C9"/>
    <w:pPr>
      <w:spacing w:after="0" w:line="240" w:lineRule="auto"/>
    </w:pPr>
    <w:rPr>
      <w:rFonts w:ascii="Arial" w:eastAsia="Arial" w:hAnsi="Arial" w:cs="Arial"/>
      <w:color w:val="000000"/>
      <w:sz w:val="24"/>
    </w:rPr>
  </w:style>
  <w:style w:type="paragraph" w:styleId="HTMLVorformatiert">
    <w:name w:val="HTML Preformatted"/>
    <w:basedOn w:val="Standard"/>
    <w:link w:val="HTMLVorformatiertZchn"/>
    <w:uiPriority w:val="99"/>
    <w:unhideWhenUsed/>
    <w:rsid w:val="00EB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VorformatiertZchn">
    <w:name w:val="HTML Vorformatiert Zchn"/>
    <w:basedOn w:val="Absatz-Standardschriftart"/>
    <w:link w:val="HTMLVorformatiert"/>
    <w:uiPriority w:val="99"/>
    <w:rsid w:val="00EB35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8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13958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Hochschule Koblenz</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 Stülb</dc:creator>
  <cp:lastModifiedBy>Weinig-Bach</cp:lastModifiedBy>
  <cp:revision>2</cp:revision>
  <dcterms:created xsi:type="dcterms:W3CDTF">2022-02-21T08:42:00Z</dcterms:created>
  <dcterms:modified xsi:type="dcterms:W3CDTF">2022-02-21T08:42:00Z</dcterms:modified>
</cp:coreProperties>
</file>