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982C" w14:textId="77777777" w:rsidR="00FC3E08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color w:val="4472C4" w:themeColor="accent1"/>
          <w:w w:val="94"/>
          <w:sz w:val="28"/>
          <w:szCs w:val="28"/>
          <w:lang w:val="de-DE"/>
        </w:rPr>
      </w:pPr>
    </w:p>
    <w:p w14:paraId="3981A63F" w14:textId="30A42203" w:rsidR="00FC3E08" w:rsidRPr="00292470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</w:pPr>
      <w:r w:rsidRPr="00292470">
        <w:rPr>
          <w:rFonts w:ascii="ZapfHumnst BT" w:eastAsia="Times New Roman" w:hAnsi="ZapfHumnst BT" w:cs="Times New Roman"/>
          <w:b/>
          <w:color w:val="4472C4" w:themeColor="accent1"/>
          <w:w w:val="94"/>
          <w:sz w:val="28"/>
          <w:szCs w:val="28"/>
          <w:lang w:val="de-DE"/>
        </w:rPr>
        <w:t>Pr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spacing w:val="-2"/>
          <w:w w:val="94"/>
          <w:sz w:val="28"/>
          <w:szCs w:val="28"/>
          <w:lang w:val="de-DE"/>
        </w:rPr>
        <w:t>a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w w:val="102"/>
          <w:sz w:val="28"/>
          <w:szCs w:val="28"/>
          <w:lang w:val="de-DE"/>
        </w:rPr>
        <w:t>ktikumspro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spacing w:val="-2"/>
          <w:w w:val="102"/>
          <w:sz w:val="28"/>
          <w:szCs w:val="28"/>
          <w:lang w:val="de-DE"/>
        </w:rPr>
        <w:t>g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w w:val="101"/>
          <w:sz w:val="28"/>
          <w:szCs w:val="28"/>
          <w:lang w:val="de-DE"/>
        </w:rPr>
        <w:t>r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spacing w:val="-3"/>
          <w:w w:val="101"/>
          <w:sz w:val="28"/>
          <w:szCs w:val="28"/>
          <w:lang w:val="de-DE"/>
        </w:rPr>
        <w:t>a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t xml:space="preserve">mm zu Lehrbrief 3: </w:t>
      </w:r>
      <w:r w:rsidRPr="00292470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br/>
      </w:r>
      <w:r w:rsidRPr="00292470"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  <w:t>Dem Gottesdienst Gestalt geben. Strukturen und Elemente</w:t>
      </w:r>
    </w:p>
    <w:p w14:paraId="3DD39880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</w:p>
    <w:p w14:paraId="798E49A0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Aufgabe</w:t>
      </w:r>
      <w:r w:rsidRPr="008428B2">
        <w:rPr>
          <w:rFonts w:ascii="ZapfHumnst BT" w:eastAsia="Times New Roman" w:hAnsi="ZapfHumnst BT" w:cs="Times New Roman"/>
          <w:b/>
          <w:spacing w:val="-9"/>
          <w:sz w:val="24"/>
          <w:szCs w:val="24"/>
          <w:lang w:val="de-DE"/>
        </w:rPr>
        <w:t xml:space="preserve"> </w:t>
      </w: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1</w:t>
      </w:r>
    </w:p>
    <w:p w14:paraId="62AB8B3D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Versuchen Sie, die nächste sonntägliche Eucharistiefeier besonders wach und bewusst</w:t>
      </w: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 mitzufeiern. </w:t>
      </w: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br/>
        <w:t>Achten Sie auf die Grundstruktur der Feier: Rahmenteile und Hauptteile, auf die Abfolge der einzelnen Elemente sowie auf den Spannungsbogen. Halten Sie danach Ihre Eindrücke schriftlich fest.</w:t>
      </w:r>
    </w:p>
    <w:p w14:paraId="6A0996C6" w14:textId="77777777" w:rsidR="00FC3E08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Notieren Sie, welche – von den im Lehrbrief behandelten – Elemente in der Messfeier vorkamen, und ob bzw. wie diese ihre spezifische Wirkung entfaltet haben. Es kann hilfreich sein, dafür eine Übersicht über den Aufbau der Eucharistiefeier (GL 581 / KG 29) zu verwenden.</w:t>
      </w:r>
    </w:p>
    <w:p w14:paraId="0CEA0E30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Erkundigen Sie sich, ob es in Ihrer Umgebung Wort-Gottes-Feiern am Sonntag gibt, und feiern Sie</w:t>
      </w:r>
      <w:r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,</w:t>
      </w: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 wenn möglich</w:t>
      </w:r>
      <w:r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,</w:t>
      </w: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 eine solche mit. Versuchen Sie auch hier, auf die Grundstruktur, die Elemente und den Spannungsbogen der Feier zu achten.</w:t>
      </w:r>
    </w:p>
    <w:p w14:paraId="0A2EFC44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Notieren Sie Ihre Wahrnehmungen, ggf. mit Hilfe </w:t>
      </w:r>
      <w:r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der </w:t>
      </w: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Übersicht im Gotteslob (rote Seite vor GL 668) oder im liturgischen Buch, das für diese Feier verwendet wird. (In der Sakristei können Sie es sicher einmal einsehen.)</w:t>
      </w:r>
    </w:p>
    <w:p w14:paraId="4790725A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</w:p>
    <w:p w14:paraId="0B7FC2A3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Aufgabe</w:t>
      </w:r>
      <w:r w:rsidRPr="008428B2">
        <w:rPr>
          <w:rFonts w:ascii="ZapfHumnst BT" w:eastAsia="Times New Roman" w:hAnsi="ZapfHumnst BT" w:cs="Times New Roman"/>
          <w:b/>
          <w:spacing w:val="-9"/>
          <w:sz w:val="24"/>
          <w:szCs w:val="24"/>
          <w:lang w:val="de-DE"/>
        </w:rPr>
        <w:t xml:space="preserve"> </w:t>
      </w: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2</w:t>
      </w:r>
    </w:p>
    <w:p w14:paraId="3F5A95D2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Achten Sie</w:t>
      </w: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 in einer der nächsten sonntäglichen Eucharistiefeiern oder Wort-Gottes-Feiern besonders auf das Allgemeine Gebet (die Fürbitten). Notieren Sie hinterher, was Ihnen aufgefallen ist, und vergleichen Sie damit Abschnitt 2.3 (7) und Anhang 2 dieses Lehrbriefs.</w:t>
      </w:r>
    </w:p>
    <w:p w14:paraId="11327262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Erkundigen Sie sich – ggf. mit Hilfe Ihres Mentors / Ihrer Mentorin, wie in Ihrer Gemeinde bzw. Gemeinschaft das Formulieren und Vortragen der </w:t>
      </w:r>
      <w:proofErr w:type="spellStart"/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Fürbitt</w:t>
      </w:r>
      <w:proofErr w:type="spellEnd"/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-Anliegen in der Sonntagsmesse organisiert ist:</w:t>
      </w:r>
    </w:p>
    <w:p w14:paraId="575ACBF4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 xml:space="preserve">Wer bereitet in der Regel das </w:t>
      </w:r>
      <w:proofErr w:type="spellStart"/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Fürbitt</w:t>
      </w:r>
      <w:proofErr w:type="spellEnd"/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-Gebet vor?</w:t>
      </w:r>
    </w:p>
    <w:p w14:paraId="514F2BE0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Wird es einer gedruckten Vorlage entnommen? Wenn ja, welcher?</w:t>
      </w:r>
    </w:p>
    <w:p w14:paraId="65532137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Wenn die Fürbitten jeden Sonntag eigens formuliert werden, welche Besonderheiten können Sie darin feststellen?</w:t>
      </w:r>
    </w:p>
    <w:p w14:paraId="412E29F3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Wie werden aktuelle Anliegen berücksichtigt?</w:t>
      </w:r>
    </w:p>
    <w:p w14:paraId="230C297E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Welche Anliegen kommen normalerweise vor?</w:t>
      </w:r>
    </w:p>
    <w:p w14:paraId="24A094ED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Wer trägt die Anliegen vor, von welchem Ort aus?</w:t>
      </w:r>
    </w:p>
    <w:p w14:paraId="3F7E0CE2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Welche Gebetsrufe der Gemeinde werden verwendet?</w:t>
      </w:r>
    </w:p>
    <w:p w14:paraId="61C10A33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Gibt es Raum für stilles Gebet zwischen Anliegen und Gebetsruf?</w:t>
      </w:r>
    </w:p>
    <w:p w14:paraId="45B12709" w14:textId="77777777" w:rsidR="00FC3E08" w:rsidRPr="008428B2" w:rsidRDefault="00FC3E08" w:rsidP="00FC3E08">
      <w:pPr>
        <w:pStyle w:val="Listenabsatz"/>
        <w:numPr>
          <w:ilvl w:val="0"/>
          <w:numId w:val="2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  <w:t>Werden Einladung und Abschluss vom Vorsteher vorgetragen?</w:t>
      </w:r>
    </w:p>
    <w:p w14:paraId="38335C50" w14:textId="77777777" w:rsidR="00FC3E08" w:rsidRDefault="00FC3E08" w:rsidP="00FC3E08">
      <w:pPr>
        <w:tabs>
          <w:tab w:val="left" w:pos="0"/>
        </w:tabs>
        <w:spacing w:after="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</w:p>
    <w:p w14:paraId="48E8BE1F" w14:textId="77777777" w:rsidR="00FC3E08" w:rsidRDefault="00FC3E08" w:rsidP="00FC3E08">
      <w:pPr>
        <w:tabs>
          <w:tab w:val="left" w:pos="0"/>
        </w:tabs>
        <w:spacing w:after="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</w:p>
    <w:p w14:paraId="5F573BF5" w14:textId="77777777" w:rsidR="00FC3E08" w:rsidRDefault="00FC3E08" w:rsidP="00FC3E08">
      <w:pPr>
        <w:tabs>
          <w:tab w:val="left" w:pos="0"/>
        </w:tabs>
        <w:spacing w:after="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</w:p>
    <w:p w14:paraId="4838D748" w14:textId="77777777" w:rsidR="00FC3E08" w:rsidRPr="008428B2" w:rsidRDefault="00FC3E08" w:rsidP="00FC3E08">
      <w:pPr>
        <w:tabs>
          <w:tab w:val="left" w:pos="0"/>
        </w:tabs>
        <w:spacing w:after="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</w:p>
    <w:p w14:paraId="25692CF3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Aufgabe</w:t>
      </w:r>
      <w:r w:rsidRPr="008428B2">
        <w:rPr>
          <w:rFonts w:ascii="ZapfHumnst BT" w:eastAsia="Times New Roman" w:hAnsi="ZapfHumnst BT" w:cs="Times New Roman"/>
          <w:b/>
          <w:spacing w:val="-9"/>
          <w:sz w:val="24"/>
          <w:szCs w:val="24"/>
          <w:lang w:val="de-DE"/>
        </w:rPr>
        <w:t xml:space="preserve"> </w:t>
      </w: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3</w:t>
      </w:r>
    </w:p>
    <w:p w14:paraId="4EEE2F7B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Stellen Sie sich vor, Sie sind verantwortlich für die Gestaltung des </w:t>
      </w:r>
      <w:proofErr w:type="spellStart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Fürbitt</w:t>
      </w:r>
      <w:proofErr w:type="spellEnd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-Gebets an einem der kommenden Sonntage. Bereiten Sie im Sinne dessen, was in diesem Lehrbrief in Kap. 2.3 (7) sowie in Anhang 2 </w:t>
      </w:r>
      <w:proofErr w:type="gramStart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darüber steht</w:t>
      </w:r>
      <w:proofErr w:type="gramEnd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, schriftlich Fürbitten für die Messfeier an diesem konkreten Sonntag vor. </w:t>
      </w:r>
    </w:p>
    <w:p w14:paraId="22A06D48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Wenn Sie selbst formulieren, gehen Sie von Lesungen und Evangelium des Tages aus. Gegebenenfalls können Sie auch eine gedruckte Vorlage zu Hilfe nehmen. </w:t>
      </w:r>
    </w:p>
    <w:p w14:paraId="7F8D36B3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Berücksichtigen Sie aktuelle Anliegen und achten Sie auf die Feinstruktur des Fürbittgebets – mit Einleitung, mehreren Gebetsanliegen, Stille und Gebetsruf sowie abschließendem Gebet.</w:t>
      </w:r>
    </w:p>
    <w:p w14:paraId="67785F2B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</w:pPr>
    </w:p>
    <w:p w14:paraId="0FE7F56D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Aufgabe</w:t>
      </w:r>
      <w:r w:rsidRPr="008428B2">
        <w:rPr>
          <w:rFonts w:ascii="ZapfHumnst BT" w:eastAsia="Times New Roman" w:hAnsi="ZapfHumnst BT" w:cs="Times New Roman"/>
          <w:b/>
          <w:spacing w:val="-9"/>
          <w:sz w:val="24"/>
          <w:szCs w:val="24"/>
          <w:lang w:val="de-DE"/>
        </w:rPr>
        <w:t xml:space="preserve"> </w:t>
      </w:r>
      <w:r w:rsidRPr="008428B2">
        <w:rPr>
          <w:rFonts w:ascii="ZapfHumnst BT" w:eastAsia="Times New Roman" w:hAnsi="ZapfHumnst BT" w:cs="Times New Roman"/>
          <w:b/>
          <w:sz w:val="24"/>
          <w:szCs w:val="24"/>
          <w:lang w:val="de-DE"/>
        </w:rPr>
        <w:t>4</w:t>
      </w:r>
    </w:p>
    <w:p w14:paraId="50BF134A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Das </w:t>
      </w:r>
      <w:proofErr w:type="spellStart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Exsultet</w:t>
      </w:r>
      <w:proofErr w:type="spellEnd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 ist ein ganz besonderes Element der Osternachtfeier, vgl. LB 1, Kap. 3.3 (4). Als festliches, gesungenes </w:t>
      </w:r>
      <w:proofErr w:type="spellStart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Osterlob</w:t>
      </w:r>
      <w:proofErr w:type="spellEnd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 gehört es zur Gattung der anamnetisch-</w:t>
      </w:r>
      <w:proofErr w:type="spellStart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epikletischen</w:t>
      </w:r>
      <w:proofErr w:type="spellEnd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 Hochgebete. </w:t>
      </w: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br/>
        <w:t xml:space="preserve">Besorgen Sie sich den Text des </w:t>
      </w:r>
      <w:proofErr w:type="spellStart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Exsultet</w:t>
      </w:r>
      <w:proofErr w:type="spellEnd"/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 xml:space="preserve"> aus dem Messbuch, aus einem Taschenmessbuch oder aus dem Internet (dort findet man auch Videos und kann es sich im gesungenen Vollzug anhören) und lesen Sie ihn aufmerksam durch.</w:t>
      </w:r>
    </w:p>
    <w:p w14:paraId="4D53DCAB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Versuchen Sie, die Struktur dieses Lobgesangs zu erkennen und die charakteristischen Elemente eines Hochgebets zu benennen.</w:t>
      </w:r>
    </w:p>
    <w:p w14:paraId="25455D58" w14:textId="77777777" w:rsidR="00FC3E08" w:rsidRPr="008428B2" w:rsidRDefault="00FC3E08" w:rsidP="00FC3E08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w w:val="102"/>
          <w:sz w:val="24"/>
          <w:szCs w:val="24"/>
          <w:lang w:val="de-DE"/>
        </w:rPr>
      </w:pPr>
      <w:r w:rsidRPr="008428B2">
        <w:rPr>
          <w:rFonts w:ascii="ZapfHumnst BT" w:eastAsia="Times New Roman" w:hAnsi="ZapfHumnst BT" w:cs="Times New Roman"/>
          <w:spacing w:val="-4"/>
          <w:sz w:val="24"/>
          <w:szCs w:val="24"/>
          <w:lang w:val="de-DE"/>
        </w:rPr>
        <w:t>Notieren Sie, welche Inhalte im Heilsgedächtnis (Anamnese) und welche in der Heilsbitte (Epiklese) vorkommen.</w:t>
      </w:r>
    </w:p>
    <w:p w14:paraId="4F92FECC" w14:textId="77777777" w:rsidR="000E447D" w:rsidRPr="00FC3E08" w:rsidRDefault="000E447D" w:rsidP="00FC3E08"/>
    <w:sectPr w:rsidR="000E447D" w:rsidRPr="00FC3E08" w:rsidSect="005C50D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panose1 w:val="020B070205050809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A6C77"/>
    <w:multiLevelType w:val="hybridMultilevel"/>
    <w:tmpl w:val="9992FF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40E1"/>
    <w:multiLevelType w:val="hybridMultilevel"/>
    <w:tmpl w:val="0FA20A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0388">
    <w:abstractNumId w:val="1"/>
  </w:num>
  <w:num w:numId="2" w16cid:durableId="26924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DD"/>
    <w:rsid w:val="000E447D"/>
    <w:rsid w:val="005C50DD"/>
    <w:rsid w:val="006551CE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A8A"/>
  <w15:chartTrackingRefBased/>
  <w15:docId w15:val="{5DEB8DC8-8363-4D51-AA4D-35752DC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0DD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50D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Albert-Josef Urban</dc:creator>
  <cp:keywords/>
  <dc:description/>
  <cp:lastModifiedBy>Albert-Josef Urban</cp:lastModifiedBy>
  <cp:revision>2</cp:revision>
  <cp:lastPrinted>2023-04-25T09:24:00Z</cp:lastPrinted>
  <dcterms:created xsi:type="dcterms:W3CDTF">2023-04-25T09:24:00Z</dcterms:created>
  <dcterms:modified xsi:type="dcterms:W3CDTF">2023-04-25T09:24:00Z</dcterms:modified>
</cp:coreProperties>
</file>